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5E" w:rsidRPr="00427529" w:rsidRDefault="0086575E" w:rsidP="0086575E">
      <w:pPr>
        <w:pStyle w:val="Articletitle"/>
      </w:pPr>
      <w:r w:rsidRPr="00427529">
        <w:t xml:space="preserve">Structural and magnetic aspects of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vertAlign w:val="subscript"/>
        </w:rPr>
        <w:t>x</w:t>
      </w:r>
      <w:r w:rsidRPr="00427529">
        <w:t>Ni</w:t>
      </w:r>
      <w:r w:rsidRPr="00427529">
        <w:rPr>
          <w:vertAlign w:val="subscript"/>
        </w:rPr>
        <w:t>x</w:t>
      </w:r>
      <w:proofErr w:type="spellEnd"/>
      <w:r w:rsidRPr="00427529">
        <w:t>)</w:t>
      </w:r>
      <w:r w:rsidRPr="00427529">
        <w:rPr>
          <w:vertAlign w:val="subscript"/>
        </w:rPr>
        <w:t>3</w:t>
      </w:r>
      <w:r w:rsidRPr="00427529">
        <w:t>O</w:t>
      </w:r>
      <w:r w:rsidRPr="00427529">
        <w:rPr>
          <w:vertAlign w:val="subscript"/>
        </w:rPr>
        <w:t>10+δ</w:t>
      </w:r>
      <w:r w:rsidRPr="00427529">
        <w:t xml:space="preserve"> (0 ≤ </w:t>
      </w:r>
      <w:r w:rsidRPr="00427529">
        <w:rPr>
          <w:i/>
        </w:rPr>
        <w:t>x</w:t>
      </w:r>
      <w:r w:rsidRPr="00427529">
        <w:t xml:space="preserve"> ≤ 1)</w:t>
      </w:r>
    </w:p>
    <w:p w:rsidR="0086575E" w:rsidRPr="00427529" w:rsidRDefault="0086575E" w:rsidP="0086575E">
      <w:pPr>
        <w:pStyle w:val="Authornames"/>
      </w:pPr>
      <w:r w:rsidRPr="00427529">
        <w:t xml:space="preserve">Marius </w:t>
      </w:r>
      <w:proofErr w:type="spellStart"/>
      <w:proofErr w:type="gramStart"/>
      <w:r w:rsidRPr="00427529">
        <w:t>Uv</w:t>
      </w:r>
      <w:proofErr w:type="spellEnd"/>
      <w:proofErr w:type="gramEnd"/>
      <w:r w:rsidRPr="00427529">
        <w:t xml:space="preserve"> </w:t>
      </w:r>
      <w:proofErr w:type="spellStart"/>
      <w:r w:rsidRPr="00427529">
        <w:t>Nagell</w:t>
      </w:r>
      <w:r w:rsidRPr="00427529">
        <w:rPr>
          <w:vertAlign w:val="superscript"/>
        </w:rPr>
        <w:t>a</w:t>
      </w:r>
      <w:proofErr w:type="spellEnd"/>
      <w:r w:rsidRPr="00427529">
        <w:t xml:space="preserve">, </w:t>
      </w:r>
      <w:proofErr w:type="spellStart"/>
      <w:r w:rsidRPr="00427529">
        <w:t>Susmit</w:t>
      </w:r>
      <w:proofErr w:type="spellEnd"/>
      <w:r w:rsidRPr="00427529">
        <w:t xml:space="preserve"> Kumar</w:t>
      </w:r>
      <w:r w:rsidRPr="00427529">
        <w:rPr>
          <w:vertAlign w:val="superscript"/>
        </w:rPr>
        <w:t>a</w:t>
      </w:r>
      <w:r w:rsidRPr="00427529">
        <w:t xml:space="preserve">, Magnus H. </w:t>
      </w:r>
      <w:proofErr w:type="spellStart"/>
      <w:r w:rsidRPr="00427529">
        <w:t>Sørby</w:t>
      </w:r>
      <w:r w:rsidRPr="00427529">
        <w:rPr>
          <w:vertAlign w:val="superscript"/>
        </w:rPr>
        <w:t>b</w:t>
      </w:r>
      <w:proofErr w:type="spellEnd"/>
      <w:r w:rsidRPr="00427529">
        <w:t xml:space="preserve">, </w:t>
      </w:r>
      <w:proofErr w:type="spellStart"/>
      <w:r w:rsidRPr="00427529">
        <w:t>Helmer</w:t>
      </w:r>
      <w:proofErr w:type="spellEnd"/>
      <w:r w:rsidRPr="00427529">
        <w:t xml:space="preserve"> </w:t>
      </w:r>
      <w:proofErr w:type="spellStart"/>
      <w:r w:rsidRPr="00427529">
        <w:t>Fjellvåg</w:t>
      </w:r>
      <w:r w:rsidRPr="00427529">
        <w:rPr>
          <w:vertAlign w:val="superscript"/>
        </w:rPr>
        <w:t>a</w:t>
      </w:r>
      <w:proofErr w:type="spellEnd"/>
      <w:r w:rsidRPr="00427529">
        <w:rPr>
          <w:vertAlign w:val="superscript"/>
        </w:rPr>
        <w:t>*</w:t>
      </w:r>
      <w:r w:rsidRPr="00427529">
        <w:t xml:space="preserve"> and </w:t>
      </w:r>
      <w:proofErr w:type="spellStart"/>
      <w:r w:rsidRPr="00427529">
        <w:t>Anja</w:t>
      </w:r>
      <w:proofErr w:type="spellEnd"/>
      <w:r w:rsidRPr="00427529">
        <w:t xml:space="preserve"> </w:t>
      </w:r>
      <w:proofErr w:type="spellStart"/>
      <w:r w:rsidRPr="00427529">
        <w:t>Olafsen</w:t>
      </w:r>
      <w:proofErr w:type="spellEnd"/>
      <w:r w:rsidRPr="00427529">
        <w:t xml:space="preserve"> </w:t>
      </w:r>
      <w:proofErr w:type="spellStart"/>
      <w:r w:rsidRPr="00427529">
        <w:t>Sjåstad</w:t>
      </w:r>
      <w:r w:rsidRPr="00427529">
        <w:rPr>
          <w:vertAlign w:val="superscript"/>
        </w:rPr>
        <w:t>a</w:t>
      </w:r>
      <w:proofErr w:type="spellEnd"/>
    </w:p>
    <w:p w:rsidR="0086575E" w:rsidRPr="00427529" w:rsidRDefault="0086575E" w:rsidP="0086575E">
      <w:pPr>
        <w:pStyle w:val="Affiliation"/>
      </w:pPr>
      <w:proofErr w:type="spellStart"/>
      <w:r w:rsidRPr="00427529">
        <w:rPr>
          <w:vertAlign w:val="superscript"/>
        </w:rPr>
        <w:t>a</w:t>
      </w:r>
      <w:r w:rsidRPr="00427529">
        <w:t>Centre</w:t>
      </w:r>
      <w:proofErr w:type="spellEnd"/>
      <w:r w:rsidRPr="00427529">
        <w:t xml:space="preserve"> for Materials Science and Nanotechnology, Department of Chemistry, University of Oslo, </w:t>
      </w:r>
      <w:proofErr w:type="spellStart"/>
      <w:r w:rsidRPr="00427529">
        <w:t>POBox</w:t>
      </w:r>
      <w:proofErr w:type="spellEnd"/>
      <w:r w:rsidRPr="00427529">
        <w:t xml:space="preserve"> 1033, N-0315 Oslo, Norway</w:t>
      </w:r>
    </w:p>
    <w:p w:rsidR="0086575E" w:rsidRPr="000E64B2" w:rsidRDefault="0086575E" w:rsidP="0086575E">
      <w:pPr>
        <w:pStyle w:val="Affiliation"/>
        <w:rPr>
          <w:lang w:val="nb-NO"/>
        </w:rPr>
      </w:pPr>
      <w:proofErr w:type="spellStart"/>
      <w:r w:rsidRPr="000E64B2">
        <w:rPr>
          <w:vertAlign w:val="superscript"/>
          <w:lang w:val="nb-NO"/>
        </w:rPr>
        <w:t>b</w:t>
      </w:r>
      <w:r w:rsidRPr="000E64B2">
        <w:rPr>
          <w:lang w:val="nb-NO"/>
        </w:rPr>
        <w:t>Institute</w:t>
      </w:r>
      <w:proofErr w:type="spellEnd"/>
      <w:r w:rsidRPr="000E64B2">
        <w:rPr>
          <w:lang w:val="nb-NO"/>
        </w:rPr>
        <w:t xml:space="preserve"> for Energy Technology, N-2027 Kjeller, Norway</w:t>
      </w:r>
    </w:p>
    <w:p w:rsidR="0086575E" w:rsidRPr="00427529" w:rsidRDefault="0086575E" w:rsidP="0086575E">
      <w:pPr>
        <w:pStyle w:val="Correspondencedetails"/>
      </w:pPr>
      <w:r w:rsidRPr="00427529">
        <w:t xml:space="preserve">*Corresponding author: </w:t>
      </w:r>
      <w:hyperlink r:id="rId6" w:history="1">
        <w:r w:rsidRPr="00427529">
          <w:rPr>
            <w:rStyle w:val="Hyperlink"/>
          </w:rPr>
          <w:t>helmer.fjellvag@kjemi.uio.no</w:t>
        </w:r>
      </w:hyperlink>
    </w:p>
    <w:p w:rsidR="0086575E" w:rsidRPr="00427529" w:rsidRDefault="0086575E" w:rsidP="0086575E">
      <w:pPr>
        <w:pStyle w:val="Correspondencedetails"/>
      </w:pPr>
    </w:p>
    <w:p w:rsidR="0086575E" w:rsidRPr="00427529" w:rsidRDefault="0086575E" w:rsidP="0086575E">
      <w:pPr>
        <w:pStyle w:val="Articletitle"/>
      </w:pPr>
      <w:r w:rsidRPr="00427529">
        <w:br w:type="page"/>
      </w:r>
      <w:r w:rsidRPr="00427529">
        <w:lastRenderedPageBreak/>
        <w:t xml:space="preserve">Structural and magnetic aspects of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vertAlign w:val="subscript"/>
        </w:rPr>
        <w:t>x</w:t>
      </w:r>
      <w:r w:rsidRPr="00427529">
        <w:t>Ni</w:t>
      </w:r>
      <w:r w:rsidRPr="00427529">
        <w:rPr>
          <w:vertAlign w:val="subscript"/>
        </w:rPr>
        <w:t>x</w:t>
      </w:r>
      <w:proofErr w:type="spellEnd"/>
      <w:r w:rsidRPr="00427529">
        <w:t>)</w:t>
      </w:r>
      <w:r w:rsidRPr="00427529">
        <w:rPr>
          <w:vertAlign w:val="subscript"/>
        </w:rPr>
        <w:t>3</w:t>
      </w:r>
      <w:r w:rsidRPr="00427529">
        <w:t>O</w:t>
      </w:r>
      <w:r w:rsidRPr="00427529">
        <w:rPr>
          <w:vertAlign w:val="subscript"/>
        </w:rPr>
        <w:t>10+δ</w:t>
      </w:r>
      <w:r w:rsidRPr="00427529">
        <w:t xml:space="preserve"> (0 ≤ </w:t>
      </w:r>
      <w:r w:rsidRPr="00427529">
        <w:rPr>
          <w:i/>
        </w:rPr>
        <w:t>x</w:t>
      </w:r>
      <w:r w:rsidRPr="00427529">
        <w:t xml:space="preserve"> ≤ 1)</w:t>
      </w:r>
    </w:p>
    <w:p w:rsidR="0086575E" w:rsidRPr="00427529" w:rsidRDefault="0086575E" w:rsidP="0086575E">
      <w:pPr>
        <w:pStyle w:val="Abstract"/>
      </w:pPr>
      <w:r w:rsidRPr="00427529">
        <w:t xml:space="preserve">The </w:t>
      </w:r>
      <w:proofErr w:type="spellStart"/>
      <w:r w:rsidRPr="00427529">
        <w:t>Ruddlesden</w:t>
      </w:r>
      <w:proofErr w:type="spellEnd"/>
      <w:r w:rsidRPr="00427529">
        <w:t>-Popper (RP3) type oxides,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and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form a complete solid solution. Powder X-ray and neutron diffraction data show that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is </w:t>
      </w:r>
      <w:proofErr w:type="spellStart"/>
      <w:r w:rsidRPr="00427529">
        <w:t>isostructural</w:t>
      </w:r>
      <w:proofErr w:type="spellEnd"/>
      <w:r w:rsidRPr="00427529">
        <w:t xml:space="preserve"> to the monoclinicLa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structure (</w:t>
      </w:r>
      <w:r w:rsidRPr="00427529">
        <w:rPr>
          <w:i/>
        </w:rPr>
        <w:t>P2</w:t>
      </w:r>
      <w:r w:rsidRPr="00427529">
        <w:rPr>
          <w:i/>
          <w:vertAlign w:val="subscript"/>
        </w:rPr>
        <w:t>1</w:t>
      </w:r>
      <w:r w:rsidRPr="00427529">
        <w:rPr>
          <w:i/>
        </w:rPr>
        <w:t>/a</w:t>
      </w:r>
      <w:r w:rsidRPr="00427529">
        <w:t xml:space="preserve">) described for all compositions without any further structural distortions as suggested in literature. A slight elongation of the Co/Ni-O bonds facing the rock salt interlayer occurs for Ni-rich compositions. The magnetic properties of the solid solution series are mapped in the temperature range from </w:t>
      </w:r>
      <w:r w:rsidR="00C75F20">
        <w:t>4</w:t>
      </w:r>
      <w:r w:rsidRPr="00427529">
        <w:t xml:space="preserve"> K to 300 K, and the results are presented in a magnetic phase diagram. Three regimes with antiferromagnetic order (AF) exist at low temperatures, T</w:t>
      </w:r>
      <w:r w:rsidRPr="00427529">
        <w:rPr>
          <w:vertAlign w:val="subscript"/>
        </w:rPr>
        <w:t>N</w:t>
      </w:r>
      <w:r w:rsidRPr="00427529">
        <w:t xml:space="preserve"> &lt; 10 </w:t>
      </w:r>
      <w:r w:rsidRPr="00427529">
        <w:sym w:font="Symbol" w:char="F02D"/>
      </w:r>
      <w:r w:rsidRPr="00427529">
        <w:t xml:space="preserve"> 30 K. For </w:t>
      </w:r>
      <w:r w:rsidRPr="00427529">
        <w:rPr>
          <w:i/>
        </w:rPr>
        <w:t>x</w:t>
      </w:r>
      <w:r w:rsidRPr="00427529">
        <w:t xml:space="preserve"> = 0.00 the AF is ascribed to </w:t>
      </w:r>
      <w:proofErr w:type="gramStart"/>
      <w:r w:rsidRPr="00427529">
        <w:t>Co(</w:t>
      </w:r>
      <w:proofErr w:type="gramEnd"/>
      <w:r w:rsidRPr="00427529">
        <w:t xml:space="preserve">II), whereas a broader AF regime around </w:t>
      </w:r>
      <w:r w:rsidRPr="00427529">
        <w:rPr>
          <w:i/>
        </w:rPr>
        <w:t>x</w:t>
      </w:r>
      <w:r w:rsidRPr="00427529">
        <w:t xml:space="preserve"> = 0.50 is ascribed mainly to Ni(II). Pauli paramagnetism is observed close to metallic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w:t>
      </w:r>
      <w:r w:rsidRPr="00427529">
        <w:rPr>
          <w:i/>
        </w:rPr>
        <w:t>x</w:t>
      </w:r>
      <w:r w:rsidRPr="00427529">
        <w:t xml:space="preserve"> &gt; 0.80. The possibility to tune the oxidation state of the transition metal atoms is demonstrated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w:t>
      </w:r>
      <w:r w:rsidR="003075EA" w:rsidRPr="00427529">
        <w:t>and</w:t>
      </w:r>
      <w:r w:rsidRPr="00427529">
        <w:t xml:space="preserve"> exemplified by weakening of a temperature induced spin transition at around 480 K.</w:t>
      </w:r>
    </w:p>
    <w:p w:rsidR="0086575E" w:rsidRPr="00427529" w:rsidRDefault="0086575E" w:rsidP="0086575E">
      <w:pPr>
        <w:pStyle w:val="Keywords"/>
      </w:pPr>
    </w:p>
    <w:p w:rsidR="00496FDF" w:rsidRPr="00427529" w:rsidRDefault="0043102F" w:rsidP="0043102F">
      <w:pPr>
        <w:pStyle w:val="Keywords"/>
      </w:pPr>
      <w:r w:rsidRPr="00427529">
        <w:t xml:space="preserve">Crystal structure; </w:t>
      </w:r>
      <w:proofErr w:type="spellStart"/>
      <w:r w:rsidRPr="00427529">
        <w:t>Ruddlesden</w:t>
      </w:r>
      <w:proofErr w:type="spellEnd"/>
      <w:r w:rsidRPr="00427529">
        <w:t xml:space="preserve">-Popper; magnetization; magnetic susceptibility; differential scanning </w:t>
      </w:r>
      <w:proofErr w:type="spellStart"/>
      <w:r w:rsidRPr="00427529">
        <w:t>calorimetry</w:t>
      </w:r>
      <w:proofErr w:type="spellEnd"/>
      <w:r w:rsidRPr="00427529">
        <w:t xml:space="preserve">, neutron diffraction </w:t>
      </w:r>
    </w:p>
    <w:p w:rsidR="00496FDF" w:rsidRPr="00427529" w:rsidRDefault="00496FDF" w:rsidP="00496FDF">
      <w:pPr>
        <w:rPr>
          <w:sz w:val="22"/>
        </w:rPr>
      </w:pPr>
      <w:r w:rsidRPr="00427529">
        <w:br w:type="page"/>
      </w:r>
    </w:p>
    <w:p w:rsidR="0086575E" w:rsidRPr="00427529" w:rsidRDefault="0043102F" w:rsidP="0043102F">
      <w:pPr>
        <w:pStyle w:val="Heading1"/>
        <w:numPr>
          <w:ilvl w:val="0"/>
          <w:numId w:val="25"/>
        </w:numPr>
        <w:ind w:left="426" w:hanging="426"/>
      </w:pPr>
      <w:r w:rsidRPr="00427529">
        <w:lastRenderedPageBreak/>
        <w:t xml:space="preserve"> </w:t>
      </w:r>
      <w:r w:rsidR="0086575E" w:rsidRPr="00427529">
        <w:t>Introduction</w:t>
      </w:r>
    </w:p>
    <w:p w:rsidR="0086575E" w:rsidRPr="00427529" w:rsidRDefault="0086575E" w:rsidP="0086575E">
      <w:pPr>
        <w:jc w:val="both"/>
      </w:pPr>
      <w:r w:rsidRPr="00427529">
        <w:t xml:space="preserve">The solid solution between the two </w:t>
      </w:r>
      <w:proofErr w:type="spellStart"/>
      <w:r w:rsidRPr="00427529">
        <w:t>Ruddlesden</w:t>
      </w:r>
      <w:proofErr w:type="spellEnd"/>
      <w:r w:rsidRPr="00427529">
        <w:t>-Popper (</w:t>
      </w:r>
      <w:proofErr w:type="spellStart"/>
      <w:r w:rsidRPr="00427529">
        <w:t>RP</w:t>
      </w:r>
      <w:r w:rsidR="0043102F" w:rsidRPr="00427529">
        <w:t>n</w:t>
      </w:r>
      <w:proofErr w:type="spellEnd"/>
      <w:r w:rsidR="0043102F" w:rsidRPr="00427529">
        <w:t>; n = 3</w:t>
      </w:r>
      <w:r w:rsidRPr="00427529">
        <w:t>) type oxides,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and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is candidate for electrodes in solid-oxide fuel cells.[1,2] Furthermore, the solid solution </w:t>
      </w:r>
      <w:r w:rsidR="0043102F" w:rsidRPr="00427529">
        <w:t>h</w:t>
      </w:r>
      <w:r w:rsidRPr="00427529">
        <w:t>as fundamental interest since it combines structurally similar compounds with major differences in electronic properties. The Co-phase is paramagnetic at room-temperature and antiferromagnetic below 12 K,[3] whereas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shows temperature independent Pauli paramagnetism and good electrical conductivity.[4] Interestingly, for the corresponding Nd-RP3 </w:t>
      </w:r>
      <w:proofErr w:type="spellStart"/>
      <w:r w:rsidRPr="00427529">
        <w:t>nickelate</w:t>
      </w:r>
      <w:proofErr w:type="spellEnd"/>
      <w:r w:rsidRPr="00427529">
        <w:t xml:space="preserve">, an electronic metal-to-metal transition occurs at around 165 K.[4] The metallic like </w:t>
      </w:r>
      <w:r w:rsidR="00427529" w:rsidRPr="00427529">
        <w:t>behaviour</w:t>
      </w:r>
      <w:r w:rsidRPr="00427529">
        <w:t xml:space="preserve"> of the nickel based compound concurs with the metallic nature of LaNiO</w:t>
      </w:r>
      <w:r w:rsidRPr="00427529">
        <w:rPr>
          <w:vertAlign w:val="subscript"/>
        </w:rPr>
        <w:t>3</w:t>
      </w:r>
      <w:r w:rsidRPr="00427529">
        <w:t xml:space="preserve"> with formally </w:t>
      </w:r>
      <w:r w:rsidR="0043102F" w:rsidRPr="00427529">
        <w:t>trivalent nickel</w:t>
      </w:r>
      <w:r w:rsidRPr="00427529">
        <w:t>.[5] These complex oxides take the basic RP3-type atomic arrangement, with a slight monoclinic distortion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rPr>
          <w:vertAlign w:val="subscript"/>
        </w:rPr>
        <w:t xml:space="preserve"> </w:t>
      </w:r>
      <w:r w:rsidRPr="00427529">
        <w:t xml:space="preserve">according to synchrotron and neutron powder diffraction data.[3,6] Such a distortion has indeed </w:t>
      </w:r>
      <w:r w:rsidR="0043102F" w:rsidRPr="00427529">
        <w:t xml:space="preserve">also </w:t>
      </w:r>
      <w:r w:rsidRPr="00427529">
        <w:t xml:space="preserve">been found for the corresponding </w:t>
      </w:r>
      <w:proofErr w:type="spellStart"/>
      <w:r w:rsidRPr="00427529">
        <w:t>Nd</w:t>
      </w:r>
      <w:proofErr w:type="spellEnd"/>
      <w:r w:rsidRPr="00427529">
        <w:t xml:space="preserve">-based cobaltite and </w:t>
      </w:r>
      <w:proofErr w:type="spellStart"/>
      <w:r w:rsidRPr="00427529">
        <w:t>nickelate</w:t>
      </w:r>
      <w:proofErr w:type="spellEnd"/>
      <w:r w:rsidRPr="00427529">
        <w:t xml:space="preserve"> RP3s.[7] The structure of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was first described in</w:t>
      </w:r>
      <w:r w:rsidR="0043102F" w:rsidRPr="00427529">
        <w:t xml:space="preserve"> space group</w:t>
      </w:r>
      <w:r w:rsidRPr="00427529">
        <w:t xml:space="preserve"> </w:t>
      </w:r>
      <w:proofErr w:type="spellStart"/>
      <w:r w:rsidRPr="00427529">
        <w:rPr>
          <w:i/>
        </w:rPr>
        <w:t>Fmmm</w:t>
      </w:r>
      <w:proofErr w:type="spellEnd"/>
      <w:r w:rsidRPr="00427529">
        <w:t xml:space="preserve"> by Zhang and Greenbla</w:t>
      </w:r>
      <w:r w:rsidR="0043102F" w:rsidRPr="00427529">
        <w:t>tt.[4] S</w:t>
      </w:r>
      <w:r w:rsidRPr="00427529">
        <w:t xml:space="preserve">ymmetry lowering to </w:t>
      </w:r>
      <w:r w:rsidRPr="00427529">
        <w:rPr>
          <w:i/>
        </w:rPr>
        <w:t>Imm2</w:t>
      </w:r>
      <w:r w:rsidRPr="00427529">
        <w:t xml:space="preserve"> was indicated by electron diffraction, whereas </w:t>
      </w:r>
      <w:proofErr w:type="spellStart"/>
      <w:r w:rsidRPr="00427529">
        <w:t>Tkalich</w:t>
      </w:r>
      <w:proofErr w:type="spellEnd"/>
      <w:r w:rsidRPr="00427529">
        <w:t xml:space="preserve"> </w:t>
      </w:r>
      <w:r w:rsidRPr="00427529">
        <w:rPr>
          <w:i/>
        </w:rPr>
        <w:t>et al.</w:t>
      </w:r>
      <w:r w:rsidRPr="00427529">
        <w:rPr>
          <w:vertAlign w:val="superscript"/>
        </w:rPr>
        <w:t xml:space="preserve"> </w:t>
      </w:r>
      <w:r w:rsidRPr="00427529">
        <w:t xml:space="preserve">obtained best fit to their powder neutron diffraction (PND) data for space group </w:t>
      </w:r>
      <w:proofErr w:type="spellStart"/>
      <w:r w:rsidRPr="00427529">
        <w:rPr>
          <w:i/>
        </w:rPr>
        <w:t>Cmca</w:t>
      </w:r>
      <w:proofErr w:type="spellEnd"/>
      <w:r w:rsidRPr="00427529">
        <w:t xml:space="preserve">.[8] Interestingly, </w:t>
      </w:r>
      <w:proofErr w:type="spellStart"/>
      <w:r w:rsidRPr="00427529">
        <w:t>Amow</w:t>
      </w:r>
      <w:proofErr w:type="spellEnd"/>
      <w:r w:rsidRPr="00427529">
        <w:t xml:space="preserve"> </w:t>
      </w:r>
      <w:r w:rsidRPr="00427529">
        <w:rPr>
          <w:i/>
        </w:rPr>
        <w:t>et al.</w:t>
      </w:r>
      <w:r w:rsidRPr="00427529">
        <w:t xml:space="preserve"> suggests a series of different structural distortions as function of composition </w:t>
      </w:r>
      <w:r w:rsidRPr="00427529">
        <w:rPr>
          <w:i/>
        </w:rPr>
        <w:t xml:space="preserve">x </w:t>
      </w:r>
      <w:r w:rsidRPr="00427529">
        <w:t>for the solid solution</w:t>
      </w:r>
      <w:r w:rsidR="0043102F" w:rsidRPr="00427529">
        <w:t>, La</w:t>
      </w:r>
      <w:r w:rsidR="0043102F" w:rsidRPr="00427529">
        <w:rPr>
          <w:vertAlign w:val="subscript"/>
        </w:rPr>
        <w:t>4</w:t>
      </w:r>
      <w:r w:rsidR="0043102F" w:rsidRPr="00427529">
        <w:t>(Co</w:t>
      </w:r>
      <w:r w:rsidR="0043102F" w:rsidRPr="00427529">
        <w:rPr>
          <w:vertAlign w:val="subscript"/>
        </w:rPr>
        <w:t>1</w:t>
      </w:r>
      <w:r w:rsidR="0043102F" w:rsidRPr="00427529">
        <w:rPr>
          <w:vertAlign w:val="subscript"/>
        </w:rPr>
        <w:sym w:font="Symbol" w:char="F02D"/>
      </w:r>
      <w:proofErr w:type="spellStart"/>
      <w:r w:rsidR="0043102F" w:rsidRPr="00427529">
        <w:rPr>
          <w:i/>
          <w:vertAlign w:val="subscript"/>
        </w:rPr>
        <w:t>x</w:t>
      </w:r>
      <w:r w:rsidR="0043102F" w:rsidRPr="00427529">
        <w:t>Ni</w:t>
      </w:r>
      <w:r w:rsidR="0043102F" w:rsidRPr="00427529">
        <w:rPr>
          <w:i/>
          <w:vertAlign w:val="subscript"/>
        </w:rPr>
        <w:t>x</w:t>
      </w:r>
      <w:proofErr w:type="spellEnd"/>
      <w:r w:rsidR="0043102F" w:rsidRPr="00427529">
        <w:t>)</w:t>
      </w:r>
      <w:r w:rsidR="0043102F" w:rsidRPr="00427529">
        <w:rPr>
          <w:vertAlign w:val="subscript"/>
        </w:rPr>
        <w:t>3</w:t>
      </w:r>
      <w:r w:rsidR="0043102F" w:rsidRPr="00427529">
        <w:t>O</w:t>
      </w:r>
      <w:r w:rsidR="0043102F" w:rsidRPr="00427529">
        <w:rPr>
          <w:vertAlign w:val="subscript"/>
        </w:rPr>
        <w:t>10+</w:t>
      </w:r>
      <w:r w:rsidR="0043102F" w:rsidRPr="00427529">
        <w:rPr>
          <w:rFonts w:ascii="Symbol" w:hAnsi="Symbol"/>
          <w:i/>
          <w:vertAlign w:val="subscript"/>
        </w:rPr>
        <w:t></w:t>
      </w:r>
      <w:r w:rsidR="0043102F" w:rsidRPr="00427529">
        <w:rPr>
          <w:rFonts w:ascii="Symbol" w:hAnsi="Symbol"/>
          <w:i/>
          <w:vertAlign w:val="subscript"/>
        </w:rPr>
        <w:t></w:t>
      </w:r>
      <w:r w:rsidR="0043102F" w:rsidRPr="00427529">
        <w:rPr>
          <w:rFonts w:ascii="Symbol" w:hAnsi="Symbol"/>
          <w:i/>
          <w:vertAlign w:val="subscript"/>
        </w:rPr>
        <w:t></w:t>
      </w:r>
      <w:r w:rsidRPr="00427529">
        <w:t xml:space="preserve">with possible space groups </w:t>
      </w:r>
      <w:proofErr w:type="spellStart"/>
      <w:r w:rsidRPr="00427529">
        <w:rPr>
          <w:i/>
        </w:rPr>
        <w:t>Bmab</w:t>
      </w:r>
      <w:proofErr w:type="spellEnd"/>
      <w:r w:rsidRPr="00427529">
        <w:t xml:space="preserve"> for (0.00 </w:t>
      </w:r>
      <w:r w:rsidRPr="00427529">
        <w:sym w:font="Symbol" w:char="F0A3"/>
      </w:r>
      <w:r w:rsidRPr="00427529">
        <w:t xml:space="preserve"> </w:t>
      </w:r>
      <w:r w:rsidRPr="00427529">
        <w:rPr>
          <w:i/>
        </w:rPr>
        <w:t>x</w:t>
      </w:r>
      <w:r w:rsidRPr="00427529">
        <w:t xml:space="preserve"> </w:t>
      </w:r>
      <w:r w:rsidRPr="00427529">
        <w:sym w:font="Symbol" w:char="F0A3"/>
      </w:r>
      <w:r w:rsidRPr="00427529">
        <w:t xml:space="preserve"> 0.13, 0.33 </w:t>
      </w:r>
      <w:r w:rsidRPr="00427529">
        <w:sym w:font="Symbol" w:char="F0A3"/>
      </w:r>
      <w:r w:rsidRPr="00427529">
        <w:t xml:space="preserve"> </w:t>
      </w:r>
      <w:r w:rsidRPr="00427529">
        <w:rPr>
          <w:i/>
        </w:rPr>
        <w:t>x</w:t>
      </w:r>
      <w:r w:rsidRPr="00427529">
        <w:t xml:space="preserve"> </w:t>
      </w:r>
      <w:r w:rsidRPr="00427529">
        <w:sym w:font="Symbol" w:char="F0A3"/>
      </w:r>
      <w:r w:rsidRPr="00427529">
        <w:t xml:space="preserve"> 0.73, and 0.93 </w:t>
      </w:r>
      <w:r w:rsidRPr="00427529">
        <w:sym w:font="Symbol" w:char="F0A3"/>
      </w:r>
      <w:r w:rsidRPr="00427529">
        <w:t xml:space="preserve"> </w:t>
      </w:r>
      <w:r w:rsidRPr="00427529">
        <w:rPr>
          <w:i/>
        </w:rPr>
        <w:t>x</w:t>
      </w:r>
      <w:r w:rsidRPr="00427529">
        <w:t xml:space="preserve"> </w:t>
      </w:r>
      <w:r w:rsidRPr="00427529">
        <w:sym w:font="Symbol" w:char="F0A3"/>
      </w:r>
      <w:r w:rsidRPr="00427529">
        <w:t xml:space="preserve"> 1.00) and </w:t>
      </w:r>
      <w:proofErr w:type="spellStart"/>
      <w:r w:rsidRPr="00427529">
        <w:rPr>
          <w:i/>
        </w:rPr>
        <w:t>Fmmm</w:t>
      </w:r>
      <w:proofErr w:type="spellEnd"/>
      <w:r w:rsidRPr="00427529">
        <w:t xml:space="preserve"> for (0.20 </w:t>
      </w:r>
      <w:r w:rsidRPr="00427529">
        <w:sym w:font="Symbol" w:char="F0A3"/>
      </w:r>
      <w:r w:rsidRPr="00427529">
        <w:t xml:space="preserve"> </w:t>
      </w:r>
      <w:r w:rsidRPr="00427529">
        <w:rPr>
          <w:i/>
        </w:rPr>
        <w:t>x</w:t>
      </w:r>
      <w:r w:rsidRPr="00427529">
        <w:t xml:space="preserve"> </w:t>
      </w:r>
      <w:r w:rsidRPr="00427529">
        <w:sym w:font="Symbol" w:char="F0A3"/>
      </w:r>
      <w:r w:rsidRPr="00427529">
        <w:t xml:space="preserve"> 0.27, and 0.80 </w:t>
      </w:r>
      <w:r w:rsidRPr="00427529">
        <w:sym w:font="Symbol" w:char="F0A3"/>
      </w:r>
      <w:r w:rsidRPr="00427529">
        <w:t xml:space="preserve"> </w:t>
      </w:r>
      <w:r w:rsidRPr="00427529">
        <w:rPr>
          <w:i/>
        </w:rPr>
        <w:t>x</w:t>
      </w:r>
      <w:r w:rsidRPr="00427529">
        <w:t xml:space="preserve"> </w:t>
      </w:r>
      <w:r w:rsidRPr="00427529">
        <w:sym w:font="Symbol" w:char="F0A3"/>
      </w:r>
      <w:r w:rsidRPr="00427529">
        <w:t xml:space="preserve"> 0.87).[1]  These findings were based on X-ray diffraction data from the home laboratory. In this work we revisit the crystal structure of the solid solution by means of powder neutron diffraction (PND). The scattering contrast provided by neutrons for oxygen atoms relative to the heavy </w:t>
      </w:r>
      <w:proofErr w:type="spellStart"/>
      <w:r w:rsidRPr="00427529">
        <w:t>cations</w:t>
      </w:r>
      <w:proofErr w:type="spellEnd"/>
      <w:r w:rsidRPr="00427529">
        <w:t xml:space="preserve"> </w:t>
      </w:r>
      <w:r w:rsidRPr="00427529">
        <w:lastRenderedPageBreak/>
        <w:t>can help settl</w:t>
      </w:r>
      <w:r w:rsidR="0043102F" w:rsidRPr="00427529">
        <w:t xml:space="preserve">ing </w:t>
      </w:r>
      <w:r w:rsidRPr="00427529">
        <w:t xml:space="preserve">open issues since structural distortions are likely rooted </w:t>
      </w:r>
      <w:r w:rsidR="0043102F" w:rsidRPr="00427529">
        <w:t>in</w:t>
      </w:r>
      <w:r w:rsidRPr="00427529">
        <w:t xml:space="preserve"> tilting of the (</w:t>
      </w:r>
      <w:proofErr w:type="spellStart"/>
      <w:r w:rsidRPr="00427529">
        <w:t>Co</w:t>
      </w:r>
      <w:proofErr w:type="gramStart"/>
      <w:r w:rsidRPr="00427529">
        <w:t>,Ni</w:t>
      </w:r>
      <w:proofErr w:type="spellEnd"/>
      <w:proofErr w:type="gramEnd"/>
      <w:r w:rsidRPr="00427529">
        <w:t>)O</w:t>
      </w:r>
      <w:r w:rsidRPr="00427529">
        <w:rPr>
          <w:vertAlign w:val="subscript"/>
        </w:rPr>
        <w:t>6</w:t>
      </w:r>
      <w:r w:rsidRPr="00427529">
        <w:t xml:space="preserve">-octahedra within the triple </w:t>
      </w:r>
      <w:proofErr w:type="spellStart"/>
      <w:r w:rsidRPr="00427529">
        <w:t>perovskite</w:t>
      </w:r>
      <w:proofErr w:type="spellEnd"/>
      <w:r w:rsidRPr="00427529">
        <w:t xml:space="preserve"> blocks of the RP3 structure.</w:t>
      </w:r>
    </w:p>
    <w:p w:rsidR="008D16EE" w:rsidRDefault="0086575E" w:rsidP="008D16EE">
      <w:pPr>
        <w:jc w:val="both"/>
      </w:pPr>
      <w:r w:rsidRPr="00427529">
        <w:t xml:space="preserve">The average oxidation state for the </w:t>
      </w:r>
      <w:r w:rsidRPr="00427529">
        <w:rPr>
          <w:i/>
        </w:rPr>
        <w:t>3d</w:t>
      </w:r>
      <w:r w:rsidRPr="00427529">
        <w:t xml:space="preserve"> </w:t>
      </w:r>
      <w:proofErr w:type="spellStart"/>
      <w:r w:rsidRPr="00427529">
        <w:t>cation</w:t>
      </w:r>
      <w:proofErr w:type="spellEnd"/>
      <w:r w:rsidRPr="00427529">
        <w:t xml:space="preserve"> in the (</w:t>
      </w:r>
      <w:proofErr w:type="spellStart"/>
      <w:r w:rsidRPr="00427529">
        <w:t>Co</w:t>
      </w:r>
      <w:proofErr w:type="gramStart"/>
      <w:r w:rsidRPr="00427529">
        <w:t>,Ni</w:t>
      </w:r>
      <w:proofErr w:type="spellEnd"/>
      <w:proofErr w:type="gramEnd"/>
      <w:r w:rsidRPr="00427529">
        <w:t>)O</w:t>
      </w:r>
      <w:r w:rsidRPr="00427529">
        <w:rPr>
          <w:vertAlign w:val="subscript"/>
        </w:rPr>
        <w:t>6</w:t>
      </w:r>
      <w:r w:rsidRPr="00427529">
        <w:t>-octahedra is +2.67.The low antiferromagnetic ordering temperature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is consistent with a simple ionic picture of two Co(III) low-spin (S = 0) </w:t>
      </w:r>
      <w:proofErr w:type="spellStart"/>
      <w:r w:rsidRPr="00427529">
        <w:t>cations</w:t>
      </w:r>
      <w:proofErr w:type="spellEnd"/>
      <w:r w:rsidRPr="00427529">
        <w:t xml:space="preserve"> and one Co(II) high-spin </w:t>
      </w:r>
      <w:proofErr w:type="spellStart"/>
      <w:r w:rsidRPr="00427529">
        <w:t>cation</w:t>
      </w:r>
      <w:proofErr w:type="spellEnd"/>
      <w:r w:rsidRPr="00427529">
        <w:t xml:space="preserve"> per formula unit. Notably, the average oxidation state of cobalt is </w:t>
      </w:r>
      <w:r w:rsidR="00427529" w:rsidRPr="00427529">
        <w:t>tuneable</w:t>
      </w:r>
      <w:r w:rsidRPr="00427529">
        <w:t xml:space="preserve">, since additional oxygen atoms can be intercalated into the rock salt (RS) layers that separate the </w:t>
      </w:r>
      <w:proofErr w:type="spellStart"/>
      <w:r w:rsidRPr="00427529">
        <w:t>perovskite</w:t>
      </w:r>
      <w:proofErr w:type="spellEnd"/>
      <w:r w:rsidRPr="00427529">
        <w:t xml:space="preserve"> blocks. The hitherto maximum value of </w:t>
      </w:r>
      <w:r w:rsidRPr="00427529">
        <w:rPr>
          <w:rFonts w:ascii="Symbol" w:hAnsi="Symbol"/>
          <w:i/>
        </w:rPr>
        <w:t></w:t>
      </w:r>
      <w:r w:rsidRPr="00427529">
        <w:t xml:space="preserve"> = 0.30 corresponds to an average Co-oxidation state of + 2.87.[3] For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the average oxidation state of +2.67 is </w:t>
      </w:r>
      <w:r w:rsidR="0043102F" w:rsidRPr="00427529">
        <w:t>approaching</w:t>
      </w:r>
      <w:r w:rsidRPr="00427529">
        <w:t xml:space="preserve"> </w:t>
      </w:r>
      <w:r w:rsidR="0043102F" w:rsidRPr="00427529">
        <w:t>that</w:t>
      </w:r>
      <w:r w:rsidRPr="00427529">
        <w:t xml:space="preserve"> formally found in metallic LaNiO</w:t>
      </w:r>
      <w:r w:rsidRPr="00427529">
        <w:rPr>
          <w:vertAlign w:val="subscript"/>
        </w:rPr>
        <w:t>3</w:t>
      </w:r>
      <w:r w:rsidRPr="00427529">
        <w:t>. For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there are reports on partly reduced and oxidized variants with </w:t>
      </w:r>
      <w:r w:rsidRPr="00427529">
        <w:rPr>
          <w:rFonts w:ascii="Symbol" w:hAnsi="Symbol"/>
          <w:i/>
        </w:rPr>
        <w:t></w:t>
      </w:r>
      <w:r w:rsidRPr="00427529">
        <w:t xml:space="preserve">  = </w:t>
      </w:r>
      <w:r w:rsidRPr="00427529">
        <w:sym w:font="Symbol" w:char="F02D"/>
      </w:r>
      <w:r w:rsidRPr="00427529">
        <w:t>0.22 and 0.12,[9] however it is fair to claim it remains open whether higher oxygen content variants (</w:t>
      </w:r>
      <w:r w:rsidRPr="00427529">
        <w:rPr>
          <w:rFonts w:ascii="Symbol" w:hAnsi="Symbol"/>
          <w:i/>
        </w:rPr>
        <w:t></w:t>
      </w:r>
      <w:r w:rsidRPr="00427529">
        <w:t xml:space="preserve"> &gt; 0.00) exist. </w:t>
      </w:r>
    </w:p>
    <w:p w:rsidR="0086575E" w:rsidRPr="00427529" w:rsidRDefault="0086575E" w:rsidP="008D16EE">
      <w:pPr>
        <w:jc w:val="both"/>
      </w:pPr>
      <w:r w:rsidRPr="00427529">
        <w:t xml:space="preserve">The current paper reports on synthesis, physical characterization and crystal structure of the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solid solution. Furthermore, the possibility to tune the oxygen content, </w:t>
      </w:r>
      <w:r w:rsidRPr="00427529">
        <w:rPr>
          <w:rFonts w:ascii="Symbol" w:hAnsi="Symbol"/>
          <w:i/>
        </w:rPr>
        <w:t></w:t>
      </w:r>
      <w:r w:rsidRPr="00427529">
        <w:t xml:space="preserve">, by annealing at selected </w:t>
      </w:r>
      <w:r w:rsidRPr="00427529">
        <w:rPr>
          <w:i/>
        </w:rPr>
        <w:t>p</w:t>
      </w:r>
      <w:r w:rsidRPr="00427529">
        <w:t>O</w:t>
      </w:r>
      <w:r w:rsidRPr="00427529">
        <w:rPr>
          <w:vertAlign w:val="subscript"/>
        </w:rPr>
        <w:t>2</w:t>
      </w:r>
      <w:r w:rsidRPr="00427529">
        <w:t xml:space="preserve"> atmosphere </w:t>
      </w:r>
      <w:r w:rsidRPr="00427529">
        <w:sym w:font="Symbol" w:char="F02D"/>
      </w:r>
      <w:r w:rsidRPr="00427529">
        <w:t xml:space="preserve"> temperature conditions is exemplified for </w:t>
      </w:r>
      <w:r w:rsidRPr="00427529">
        <w:rPr>
          <w:i/>
        </w:rPr>
        <w:t>x</w:t>
      </w:r>
      <w:r w:rsidRPr="00427529">
        <w:t xml:space="preserve"> = 0.00 and 1.00. The crystal structure is reported for </w:t>
      </w:r>
      <w:r w:rsidRPr="00427529">
        <w:rPr>
          <w:i/>
        </w:rPr>
        <w:t>x</w:t>
      </w:r>
      <w:r w:rsidRPr="00427529">
        <w:t xml:space="preserve"> = 0.00, 0.20, 0.47, 0.80, 0.93, and 1.00 based on </w:t>
      </w:r>
      <w:proofErr w:type="spellStart"/>
      <w:r w:rsidRPr="00427529">
        <w:t>Rietveld</w:t>
      </w:r>
      <w:proofErr w:type="spellEnd"/>
      <w:r w:rsidRPr="00427529">
        <w:t xml:space="preserve"> refinement of powder neutron diffraction data at ambient temperature. The magnetic and electronic properties in the temperature interval from </w:t>
      </w:r>
      <w:r w:rsidR="00C75F20">
        <w:t>4</w:t>
      </w:r>
      <w:r w:rsidRPr="00427529">
        <w:t xml:space="preserve"> K to 300 K are described on the basis of PPMS measurements and neutron diffraction data, and a magnetic phase diagram is provided for </w:t>
      </w:r>
      <w:r w:rsidRPr="00427529">
        <w:rPr>
          <w:i/>
        </w:rPr>
        <w:t>T</w:t>
      </w:r>
      <w:r w:rsidRPr="00427529">
        <w:t xml:space="preserve"> &lt; </w:t>
      </w:r>
      <w:r w:rsidR="0043102F" w:rsidRPr="00427529">
        <w:t>5</w:t>
      </w:r>
      <w:r w:rsidRPr="00427529">
        <w:t>0 K.</w:t>
      </w:r>
    </w:p>
    <w:p w:rsidR="0086575E" w:rsidRPr="00427529" w:rsidRDefault="0086575E" w:rsidP="0086575E">
      <w:pPr>
        <w:pStyle w:val="Heading1"/>
        <w:numPr>
          <w:ilvl w:val="0"/>
          <w:numId w:val="25"/>
        </w:numPr>
        <w:ind w:left="426" w:hanging="426"/>
      </w:pPr>
      <w:r w:rsidRPr="00427529">
        <w:t>Experimental</w:t>
      </w:r>
    </w:p>
    <w:p w:rsidR="0086575E" w:rsidRPr="00427529" w:rsidRDefault="0086575E" w:rsidP="0086575E">
      <w:pPr>
        <w:jc w:val="both"/>
      </w:pPr>
      <w:r w:rsidRPr="00427529">
        <w:t>Samples of La</w:t>
      </w:r>
      <w:r w:rsidRPr="00427529">
        <w:rPr>
          <w:vertAlign w:val="subscript"/>
        </w:rPr>
        <w:t>4</w:t>
      </w:r>
      <w:r w:rsidRPr="00427529">
        <w:t>(Co</w:t>
      </w:r>
      <w:r w:rsidRPr="00427529">
        <w:rPr>
          <w:vertAlign w:val="subscript"/>
        </w:rPr>
        <w:t>1</w:t>
      </w:r>
      <w:r w:rsidRPr="00427529">
        <w:rPr>
          <w:vertAlign w:val="subscript"/>
        </w:rPr>
        <w:sym w:font="Symbol" w:char="F02D"/>
      </w:r>
      <w:proofErr w:type="spellStart"/>
      <w:r w:rsidRPr="00427529">
        <w:rPr>
          <w:vertAlign w:val="subscript"/>
        </w:rPr>
        <w:t>x</w:t>
      </w:r>
      <w:r w:rsidRPr="00427529">
        <w:t>Ni</w:t>
      </w:r>
      <w:r w:rsidRPr="00427529">
        <w:rPr>
          <w:vertAlign w:val="subscript"/>
        </w:rPr>
        <w:t>x</w:t>
      </w:r>
      <w:proofErr w:type="spellEnd"/>
      <w:r w:rsidRPr="00427529">
        <w:t>)</w:t>
      </w:r>
      <w:r w:rsidRPr="00427529">
        <w:rPr>
          <w:vertAlign w:val="subscript"/>
        </w:rPr>
        <w:t>3</w:t>
      </w:r>
      <w:r w:rsidRPr="00427529">
        <w:t>O</w:t>
      </w:r>
      <w:r w:rsidRPr="00427529">
        <w:rPr>
          <w:vertAlign w:val="subscript"/>
        </w:rPr>
        <w:t>10+δ</w:t>
      </w:r>
      <w:r w:rsidRPr="00427529">
        <w:t xml:space="preserve"> (0 </w:t>
      </w:r>
      <w:r w:rsidRPr="00427529">
        <w:sym w:font="Symbol" w:char="F0A3"/>
      </w:r>
      <w:r w:rsidRPr="00427529">
        <w:t xml:space="preserve"> </w:t>
      </w:r>
      <w:r w:rsidRPr="00427529">
        <w:rPr>
          <w:i/>
        </w:rPr>
        <w:t xml:space="preserve">x </w:t>
      </w:r>
      <w:r w:rsidRPr="00427529">
        <w:sym w:font="Symbol" w:char="F0A3"/>
      </w:r>
      <w:r w:rsidRPr="00427529">
        <w:t xml:space="preserve"> 1) were synthesized according to the citric acid method following standard procedures for our laboratory.[3,6,7] The starting materials were La</w:t>
      </w:r>
      <w:r w:rsidRPr="00427529">
        <w:rPr>
          <w:vertAlign w:val="subscript"/>
        </w:rPr>
        <w:t>2</w:t>
      </w:r>
      <w:r w:rsidRPr="00427529">
        <w:t>O</w:t>
      </w:r>
      <w:r w:rsidRPr="00427529">
        <w:rPr>
          <w:vertAlign w:val="subscript"/>
        </w:rPr>
        <w:t>3</w:t>
      </w:r>
      <w:r w:rsidRPr="00427529">
        <w:t xml:space="preserve"> (99.99 %, </w:t>
      </w:r>
      <w:proofErr w:type="spellStart"/>
      <w:r w:rsidRPr="00427529">
        <w:t>Molycorp</w:t>
      </w:r>
      <w:proofErr w:type="spellEnd"/>
      <w:r w:rsidRPr="00427529">
        <w:t>), Ni(CH</w:t>
      </w:r>
      <w:r w:rsidRPr="00427529">
        <w:rPr>
          <w:vertAlign w:val="subscript"/>
        </w:rPr>
        <w:t>3</w:t>
      </w:r>
      <w:r w:rsidRPr="00427529">
        <w:t>COO)</w:t>
      </w:r>
      <w:r w:rsidRPr="00427529">
        <w:rPr>
          <w:vertAlign w:val="subscript"/>
        </w:rPr>
        <w:t>2</w:t>
      </w:r>
      <w:r w:rsidRPr="00427529">
        <w:t>·4H</w:t>
      </w:r>
      <w:r w:rsidRPr="00427529">
        <w:rPr>
          <w:vertAlign w:val="subscript"/>
        </w:rPr>
        <w:t>2</w:t>
      </w:r>
      <w:r w:rsidRPr="00427529">
        <w:t xml:space="preserve">O (≥ 99.0 %, Sigma Aldrich),  </w:t>
      </w:r>
      <w:r w:rsidRPr="00427529">
        <w:lastRenderedPageBreak/>
        <w:t>Co(CH</w:t>
      </w:r>
      <w:r w:rsidRPr="00427529">
        <w:rPr>
          <w:vertAlign w:val="subscript"/>
        </w:rPr>
        <w:t>3</w:t>
      </w:r>
      <w:r w:rsidRPr="00427529">
        <w:t>COO)</w:t>
      </w:r>
      <w:r w:rsidRPr="00427529">
        <w:rPr>
          <w:vertAlign w:val="subscript"/>
        </w:rPr>
        <w:t>2</w:t>
      </w:r>
      <w:r w:rsidRPr="00427529">
        <w:t>·4H</w:t>
      </w:r>
      <w:r w:rsidRPr="00427529">
        <w:rPr>
          <w:vertAlign w:val="subscript"/>
        </w:rPr>
        <w:t>2</w:t>
      </w:r>
      <w:r w:rsidRPr="00427529">
        <w:t>O (reagent grade, Sigma Aldrich), and citric acid monohydrate, C</w:t>
      </w:r>
      <w:r w:rsidRPr="00427529">
        <w:rPr>
          <w:vertAlign w:val="subscript"/>
        </w:rPr>
        <w:t>3</w:t>
      </w:r>
      <w:r w:rsidRPr="00427529">
        <w:t>H</w:t>
      </w:r>
      <w:r w:rsidRPr="00427529">
        <w:rPr>
          <w:vertAlign w:val="subscript"/>
        </w:rPr>
        <w:t>4</w:t>
      </w:r>
      <w:r w:rsidRPr="00427529">
        <w:t>(OH)(COOH)</w:t>
      </w:r>
      <w:r w:rsidRPr="00427529">
        <w:rPr>
          <w:vertAlign w:val="subscript"/>
        </w:rPr>
        <w:t>3</w:t>
      </w:r>
      <w:r w:rsidRPr="00427529">
        <w:t>·H</w:t>
      </w:r>
      <w:r w:rsidRPr="00427529">
        <w:rPr>
          <w:vertAlign w:val="subscript"/>
        </w:rPr>
        <w:t>2</w:t>
      </w:r>
      <w:r w:rsidRPr="00427529">
        <w:t>O (98  %, Sigma Aldrich). In order to remove water and carbon dioxide, La</w:t>
      </w:r>
      <w:r w:rsidRPr="00427529">
        <w:rPr>
          <w:vertAlign w:val="subscript"/>
        </w:rPr>
        <w:t>2</w:t>
      </w:r>
      <w:r w:rsidRPr="00427529">
        <w:t>O</w:t>
      </w:r>
      <w:r w:rsidRPr="00427529">
        <w:rPr>
          <w:vertAlign w:val="subscript"/>
        </w:rPr>
        <w:t>3</w:t>
      </w:r>
      <w:r w:rsidRPr="00427529">
        <w:t xml:space="preserve"> was </w:t>
      </w:r>
      <w:proofErr w:type="spellStart"/>
      <w:r w:rsidRPr="00427529">
        <w:t>calcined</w:t>
      </w:r>
      <w:proofErr w:type="spellEnd"/>
      <w:r w:rsidRPr="00427529">
        <w:t xml:space="preserve"> at 800 °C and cooled in a desiccator before use. From gravimetric analysis exact formula weights of the cobalt and nickel acetate salts were determined. La</w:t>
      </w:r>
      <w:r w:rsidRPr="00427529">
        <w:rPr>
          <w:vertAlign w:val="subscript"/>
        </w:rPr>
        <w:t>2</w:t>
      </w:r>
      <w:r w:rsidRPr="00427529">
        <w:t>O</w:t>
      </w:r>
      <w:r w:rsidRPr="00427529">
        <w:rPr>
          <w:vertAlign w:val="subscript"/>
        </w:rPr>
        <w:t>3</w:t>
      </w:r>
      <w:r w:rsidRPr="00427529">
        <w:t xml:space="preserve"> was first dissolved in a mixture of HNO</w:t>
      </w:r>
      <w:r w:rsidRPr="00427529">
        <w:rPr>
          <w:vertAlign w:val="subscript"/>
        </w:rPr>
        <w:t>3</w:t>
      </w:r>
      <w:r w:rsidRPr="00427529">
        <w:t xml:space="preserve"> (68 %, VWR Chemicals) and de-ionised water (volume ratio </w:t>
      </w:r>
      <w:proofErr w:type="gramStart"/>
      <w:r w:rsidRPr="00427529">
        <w:t>1 :</w:t>
      </w:r>
      <w:proofErr w:type="gramEnd"/>
      <w:r w:rsidRPr="00427529">
        <w:t xml:space="preserve"> 1). The cobalt and nickel acetates, dissolved in de-ionised water, were then added. Citric acid monohydrate was added during stirring and heating of the entire solution. The solution was left boiling until all nitrates was decomposed as nitrous gases, and then dehydrated in a heating cabinet at 180 °C overnight. Thereafter, calcination was done at 450 °C for 24 h in static air. Cold-pressed pellets of the obtained grey to black powders were annealed in tube furnaces at 1000 –  1100 °C, in either flowing nitrogen (5N, Aga) (0.00 ≤ </w:t>
      </w:r>
      <w:r w:rsidRPr="00427529">
        <w:rPr>
          <w:i/>
        </w:rPr>
        <w:t>x</w:t>
      </w:r>
      <w:r w:rsidRPr="00427529">
        <w:t xml:space="preserve"> ≤ 0.33) or static air (0.33 &lt; </w:t>
      </w:r>
      <w:r w:rsidRPr="00427529">
        <w:rPr>
          <w:i/>
        </w:rPr>
        <w:t>x</w:t>
      </w:r>
      <w:r w:rsidRPr="00427529">
        <w:t xml:space="preserve"> ≤ 1.00), two or more times, with intermediate grinding and re-pelletizing between each annealing. The holding times varied between 24 and 48 h. Phase purity was ascertained by powder X-ray diffraction (XRD), and oxygen content was determined by </w:t>
      </w:r>
      <w:proofErr w:type="spellStart"/>
      <w:r w:rsidRPr="00427529">
        <w:t>cerimetric</w:t>
      </w:r>
      <w:proofErr w:type="spellEnd"/>
      <w:r w:rsidRPr="00427529">
        <w:t xml:space="preserve"> titrations and </w:t>
      </w:r>
      <w:proofErr w:type="spellStart"/>
      <w:r w:rsidRPr="00427529">
        <w:t>thermogravimetric</w:t>
      </w:r>
      <w:proofErr w:type="spellEnd"/>
      <w:r w:rsidRPr="00427529">
        <w:t xml:space="preserve"> analys</w:t>
      </w:r>
      <w:r w:rsidR="0043102F" w:rsidRPr="00427529">
        <w:t>i</w:t>
      </w:r>
      <w:r w:rsidRPr="00427529">
        <w:t xml:space="preserve">s (TGA). </w:t>
      </w:r>
      <w:r w:rsidR="00496FDF" w:rsidRPr="00427529">
        <w:t>Magnetic studies on La</w:t>
      </w:r>
      <w:r w:rsidR="00496FDF" w:rsidRPr="00427529">
        <w:rPr>
          <w:vertAlign w:val="subscript"/>
        </w:rPr>
        <w:t>4</w:t>
      </w:r>
      <w:r w:rsidR="00496FDF" w:rsidRPr="00427529">
        <w:t>Co</w:t>
      </w:r>
      <w:r w:rsidR="00496FDF" w:rsidRPr="00427529">
        <w:rPr>
          <w:vertAlign w:val="subscript"/>
        </w:rPr>
        <w:t>3</w:t>
      </w:r>
      <w:r w:rsidR="00496FDF" w:rsidRPr="00427529">
        <w:t>O</w:t>
      </w:r>
      <w:r w:rsidR="00496FDF" w:rsidRPr="00427529">
        <w:rPr>
          <w:vertAlign w:val="subscript"/>
        </w:rPr>
        <w:t>10+</w:t>
      </w:r>
      <w:r w:rsidR="00496FDF" w:rsidRPr="00427529">
        <w:rPr>
          <w:rFonts w:ascii="Symbol" w:hAnsi="Symbol"/>
          <w:i/>
          <w:vertAlign w:val="subscript"/>
        </w:rPr>
        <w:t></w:t>
      </w:r>
      <w:r w:rsidR="00496FDF" w:rsidRPr="00427529">
        <w:t xml:space="preserve"> were conducted for finely crushed powders </w:t>
      </w:r>
      <w:r w:rsidR="00FA272B" w:rsidRPr="00427529">
        <w:t>(denoted 0.00S), for coarse particles 0.00L), and for sintered specimen.</w:t>
      </w:r>
    </w:p>
    <w:p w:rsidR="0086575E" w:rsidRPr="00427529" w:rsidRDefault="0086575E" w:rsidP="0086575E">
      <w:pPr>
        <w:jc w:val="both"/>
      </w:pPr>
      <w:proofErr w:type="spellStart"/>
      <w:r w:rsidRPr="00427529">
        <w:t>Cerimetric</w:t>
      </w:r>
      <w:proofErr w:type="spellEnd"/>
      <w:r w:rsidRPr="00427529">
        <w:t xml:space="preserve"> titrations were performed by dissolving Mohr salt, (NH</w:t>
      </w:r>
      <w:r w:rsidRPr="00427529">
        <w:rPr>
          <w:vertAlign w:val="subscript"/>
        </w:rPr>
        <w:t>4</w:t>
      </w:r>
      <w:r w:rsidRPr="00427529">
        <w:t>)</w:t>
      </w:r>
      <w:proofErr w:type="gramStart"/>
      <w:r w:rsidRPr="00427529">
        <w:rPr>
          <w:vertAlign w:val="subscript"/>
        </w:rPr>
        <w:t>2</w:t>
      </w:r>
      <w:r w:rsidRPr="00427529">
        <w:t>Fe(</w:t>
      </w:r>
      <w:proofErr w:type="gramEnd"/>
      <w:r w:rsidRPr="00427529">
        <w:t>SO</w:t>
      </w:r>
      <w:r w:rsidRPr="00427529">
        <w:rPr>
          <w:vertAlign w:val="subscript"/>
        </w:rPr>
        <w:t>4</w:t>
      </w:r>
      <w:r w:rsidRPr="00427529">
        <w:t>)</w:t>
      </w:r>
      <w:r w:rsidRPr="00427529">
        <w:rPr>
          <w:vertAlign w:val="subscript"/>
        </w:rPr>
        <w:t>2</w:t>
      </w:r>
      <w:r w:rsidRPr="00427529">
        <w:t>·6H</w:t>
      </w:r>
      <w:r w:rsidRPr="00427529">
        <w:rPr>
          <w:vertAlign w:val="subscript"/>
        </w:rPr>
        <w:t>2</w:t>
      </w:r>
      <w:r w:rsidRPr="00427529">
        <w:t xml:space="preserve">O (99 %, Sigma-Aldrich), and a small amount of the sample in 1 M </w:t>
      </w:r>
      <w:proofErr w:type="spellStart"/>
      <w:r w:rsidRPr="00427529">
        <w:t>HCl</w:t>
      </w:r>
      <w:proofErr w:type="spellEnd"/>
      <w:r w:rsidRPr="00427529">
        <w:t xml:space="preserve"> in inert atmosphere of </w:t>
      </w:r>
      <w:proofErr w:type="spellStart"/>
      <w:r w:rsidRPr="00427529">
        <w:t>Ar</w:t>
      </w:r>
      <w:proofErr w:type="spellEnd"/>
      <w:r w:rsidRPr="00427529">
        <w:t xml:space="preserve"> (5N, Aga). The solution was thereafter titrated with 0.1 M </w:t>
      </w:r>
      <w:proofErr w:type="gramStart"/>
      <w:r w:rsidRPr="00427529">
        <w:t>Ce(</w:t>
      </w:r>
      <w:proofErr w:type="gramEnd"/>
      <w:r w:rsidRPr="00427529">
        <w:t>SO</w:t>
      </w:r>
      <w:r w:rsidRPr="00427529">
        <w:rPr>
          <w:vertAlign w:val="subscript"/>
        </w:rPr>
        <w:t>4</w:t>
      </w:r>
      <w:r w:rsidRPr="00427529">
        <w:t>)</w:t>
      </w:r>
      <w:r w:rsidRPr="00427529">
        <w:rPr>
          <w:vertAlign w:val="subscript"/>
        </w:rPr>
        <w:t>2</w:t>
      </w:r>
      <w:r w:rsidRPr="00427529">
        <w:t xml:space="preserve"> (volumetric, </w:t>
      </w:r>
      <w:proofErr w:type="spellStart"/>
      <w:r w:rsidRPr="00427529">
        <w:t>Fluka</w:t>
      </w:r>
      <w:proofErr w:type="spellEnd"/>
      <w:r w:rsidRPr="00427529">
        <w:t xml:space="preserve">) under inert atmosphere of flowing Ar. Exact formula weight of the Mohr salt was determined gravimetrically (4 parallels). The exact concentration of the </w:t>
      </w:r>
      <w:proofErr w:type="gramStart"/>
      <w:r w:rsidRPr="00427529">
        <w:t>Ce(</w:t>
      </w:r>
      <w:proofErr w:type="gramEnd"/>
      <w:r w:rsidRPr="00427529">
        <w:t>SO</w:t>
      </w:r>
      <w:r w:rsidRPr="00427529">
        <w:rPr>
          <w:vertAlign w:val="subscript"/>
        </w:rPr>
        <w:t>4</w:t>
      </w:r>
      <w:r w:rsidRPr="00427529">
        <w:t>)</w:t>
      </w:r>
      <w:r w:rsidRPr="00427529">
        <w:rPr>
          <w:vertAlign w:val="subscript"/>
        </w:rPr>
        <w:t>2</w:t>
      </w:r>
      <w:r w:rsidRPr="00427529">
        <w:t xml:space="preserve"> solution was determined separately by titrating with Mohr salt.</w:t>
      </w:r>
    </w:p>
    <w:p w:rsidR="0086575E" w:rsidRPr="00427529" w:rsidRDefault="0086575E" w:rsidP="0086575E">
      <w:pPr>
        <w:jc w:val="both"/>
      </w:pPr>
      <w:proofErr w:type="spellStart"/>
      <w:r w:rsidRPr="00427529">
        <w:lastRenderedPageBreak/>
        <w:t>Thermogravimentric</w:t>
      </w:r>
      <w:proofErr w:type="spellEnd"/>
      <w:r w:rsidRPr="00427529">
        <w:t xml:space="preserve"> (TGA) and differential scanning calorimetric (DSC) analysis in N</w:t>
      </w:r>
      <w:r w:rsidRPr="00427529">
        <w:rPr>
          <w:vertAlign w:val="subscript"/>
        </w:rPr>
        <w:t>2</w:t>
      </w:r>
      <w:r w:rsidRPr="00427529">
        <w:t xml:space="preserve"> (5N Aga), O</w:t>
      </w:r>
      <w:r w:rsidRPr="00427529">
        <w:rPr>
          <w:vertAlign w:val="subscript"/>
        </w:rPr>
        <w:t>2</w:t>
      </w:r>
      <w:r w:rsidRPr="00427529">
        <w:t xml:space="preserve"> (5N Aga), and O</w:t>
      </w:r>
      <w:r w:rsidRPr="00427529">
        <w:rPr>
          <w:vertAlign w:val="subscript"/>
        </w:rPr>
        <w:t>2</w:t>
      </w:r>
      <w:r w:rsidRPr="00427529">
        <w:t>/N</w:t>
      </w:r>
      <w:r w:rsidRPr="00427529">
        <w:rPr>
          <w:vertAlign w:val="subscript"/>
        </w:rPr>
        <w:t>2</w:t>
      </w:r>
      <w:r w:rsidRPr="00427529">
        <w:t xml:space="preserve">-atmospheres were performed with a </w:t>
      </w:r>
      <w:proofErr w:type="spellStart"/>
      <w:r w:rsidRPr="00427529">
        <w:t>Netzsch</w:t>
      </w:r>
      <w:proofErr w:type="spellEnd"/>
      <w:r w:rsidRPr="00427529">
        <w:t xml:space="preserve"> STA 449 F1 Jupiter. Heating and cooling were performed at rates of 10 °C/min. Background corrections were measured with empty sample holders at identical experimental conditions to eliminate any effects from the holders and the atmosphere. </w:t>
      </w:r>
    </w:p>
    <w:p w:rsidR="0086575E" w:rsidRPr="00427529" w:rsidRDefault="0086575E" w:rsidP="0086575E">
      <w:pPr>
        <w:jc w:val="both"/>
      </w:pPr>
      <w:r w:rsidRPr="00427529">
        <w:t xml:space="preserve">Room temperature powder X-ray diffraction (XRD) data were collected with a </w:t>
      </w:r>
      <w:proofErr w:type="spellStart"/>
      <w:r w:rsidRPr="00427529">
        <w:t>Bruker</w:t>
      </w:r>
      <w:proofErr w:type="spellEnd"/>
      <w:r w:rsidRPr="00427529">
        <w:t xml:space="preserve"> D8 Discover with a </w:t>
      </w:r>
      <w:proofErr w:type="spellStart"/>
      <w:r w:rsidRPr="00427529">
        <w:t>Lynxeye</w:t>
      </w:r>
      <w:proofErr w:type="spellEnd"/>
      <w:r w:rsidRPr="00427529">
        <w:t xml:space="preserve"> detector and using </w:t>
      </w:r>
      <w:proofErr w:type="spellStart"/>
      <w:r w:rsidRPr="00427529">
        <w:t>Cu</w:t>
      </w:r>
      <w:r w:rsidRPr="00427529">
        <w:rPr>
          <w:i/>
        </w:rPr>
        <w:t>K</w:t>
      </w:r>
      <w:proofErr w:type="spellEnd"/>
      <w:r w:rsidRPr="00427529">
        <w:t>α</w:t>
      </w:r>
      <w:r w:rsidRPr="00427529">
        <w:rPr>
          <w:vertAlign w:val="subscript"/>
        </w:rPr>
        <w:t>1</w:t>
      </w:r>
      <w:r w:rsidRPr="00427529">
        <w:t xml:space="preserve"> radiation from a </w:t>
      </w:r>
      <w:proofErr w:type="spellStart"/>
      <w:proofErr w:type="gramStart"/>
      <w:r w:rsidRPr="00427529">
        <w:t>Ge</w:t>
      </w:r>
      <w:proofErr w:type="spellEnd"/>
      <w:r w:rsidRPr="00427529">
        <w:t>(</w:t>
      </w:r>
      <w:proofErr w:type="gramEnd"/>
      <w:r w:rsidRPr="00427529">
        <w:t xml:space="preserve">111) Johansson </w:t>
      </w:r>
      <w:proofErr w:type="spellStart"/>
      <w:r w:rsidRPr="00427529">
        <w:t>monochromator</w:t>
      </w:r>
      <w:proofErr w:type="spellEnd"/>
      <w:r w:rsidRPr="00427529">
        <w:t>. Diffraction data were collected at room temperature between 2</w:t>
      </w:r>
      <w:r w:rsidRPr="00427529">
        <w:rPr>
          <w:i/>
        </w:rPr>
        <w:t>θ</w:t>
      </w:r>
      <w:r w:rsidRPr="00427529">
        <w:t xml:space="preserve"> = 10° and 90°. Unit cell dimensions were determined by profile refinements using Pawley fitting [10] with the program TOPAS</w:t>
      </w:r>
      <w:proofErr w:type="gramStart"/>
      <w:r w:rsidRPr="00427529">
        <w:t>.[</w:t>
      </w:r>
      <w:proofErr w:type="gramEnd"/>
      <w:r w:rsidRPr="00427529">
        <w:t>11]</w:t>
      </w:r>
    </w:p>
    <w:p w:rsidR="008D16EE" w:rsidRDefault="0086575E" w:rsidP="008D16EE">
      <w:pPr>
        <w:jc w:val="both"/>
      </w:pPr>
      <w:r w:rsidRPr="00427529">
        <w:t xml:space="preserve">Powder neutron diffraction (PND) data are collected using the two-axis PUS powder </w:t>
      </w:r>
      <w:proofErr w:type="spellStart"/>
      <w:r w:rsidRPr="00427529">
        <w:t>diffractometer</w:t>
      </w:r>
      <w:proofErr w:type="spellEnd"/>
      <w:r w:rsidRPr="00427529">
        <w:t xml:space="preserve"> at the JEEP II reactor at IFE, </w:t>
      </w:r>
      <w:proofErr w:type="spellStart"/>
      <w:r w:rsidRPr="00427529">
        <w:t>Kjeller</w:t>
      </w:r>
      <w:proofErr w:type="spellEnd"/>
      <w:r w:rsidRPr="00427529">
        <w:t xml:space="preserve">, Norway. The wavelength of the </w:t>
      </w:r>
      <w:proofErr w:type="spellStart"/>
      <w:r w:rsidRPr="00427529">
        <w:t>monochromatized</w:t>
      </w:r>
      <w:proofErr w:type="spellEnd"/>
      <w:r w:rsidRPr="00427529">
        <w:t xml:space="preserve"> neutrons was 1.5545 Å. Data were collected at room temperature between 2</w:t>
      </w:r>
      <w:r w:rsidRPr="00427529">
        <w:rPr>
          <w:i/>
        </w:rPr>
        <w:t>θ</w:t>
      </w:r>
      <w:r w:rsidRPr="00427529">
        <w:t xml:space="preserve"> = 10° and 130° and at 8 K between 2</w:t>
      </w:r>
      <w:r w:rsidRPr="00427529">
        <w:rPr>
          <w:i/>
        </w:rPr>
        <w:t>θ</w:t>
      </w:r>
      <w:r w:rsidRPr="00427529">
        <w:t xml:space="preserve"> = 4° and 130° in steps of </w:t>
      </w:r>
      <w:proofErr w:type="gramStart"/>
      <w:r w:rsidRPr="00427529">
        <w:t>Δ(</w:t>
      </w:r>
      <w:proofErr w:type="gramEnd"/>
      <w:r w:rsidRPr="00427529">
        <w:t>2</w:t>
      </w:r>
      <w:r w:rsidRPr="00427529">
        <w:rPr>
          <w:i/>
        </w:rPr>
        <w:t>θ</w:t>
      </w:r>
      <w:r w:rsidRPr="00427529">
        <w:t xml:space="preserve">) = 0.05°. </w:t>
      </w:r>
      <w:proofErr w:type="spellStart"/>
      <w:r w:rsidRPr="00427529">
        <w:t>Rietveld</w:t>
      </w:r>
      <w:proofErr w:type="spellEnd"/>
      <w:r w:rsidRPr="00427529">
        <w:t xml:space="preserve"> analysis of the PND data was performed with the GSAS program package</w:t>
      </w:r>
      <w:proofErr w:type="gramStart"/>
      <w:r w:rsidRPr="00427529">
        <w:t>.[</w:t>
      </w:r>
      <w:proofErr w:type="gramEnd"/>
      <w:r w:rsidRPr="00427529">
        <w:t>12] 2398 data points, 1360 Bragg reflections, and a maximum of 61 variables entered into the least squares refinements. The background was modelled by a cosine Fourier series polynomial, and the peak shapes described by a pseudo-Voigt function. Distance restraints were introduced for the CoO</w:t>
      </w:r>
      <w:r w:rsidRPr="00427529">
        <w:rPr>
          <w:vertAlign w:val="subscript"/>
        </w:rPr>
        <w:t>6</w:t>
      </w:r>
      <w:r w:rsidRPr="00427529">
        <w:t xml:space="preserve"> and NiO</w:t>
      </w:r>
      <w:r w:rsidRPr="00427529">
        <w:rPr>
          <w:vertAlign w:val="subscript"/>
        </w:rPr>
        <w:t>6</w:t>
      </w:r>
      <w:r w:rsidRPr="00427529">
        <w:t xml:space="preserve"> </w:t>
      </w:r>
      <w:r w:rsidR="00427529" w:rsidRPr="00427529">
        <w:t>octahedr</w:t>
      </w:r>
      <w:r w:rsidR="00427529">
        <w:t>ons</w:t>
      </w:r>
      <w:r w:rsidRPr="00427529">
        <w:t>, as well as for the La</w:t>
      </w:r>
      <w:r w:rsidRPr="00427529">
        <w:sym w:font="Symbol" w:char="F02D"/>
      </w:r>
      <w:r w:rsidRPr="00427529">
        <w:t xml:space="preserve">O-distances. The Co/Ni-O distances were restrained to 1.95 Å (± 0.04 Å), the La-O distances to 2.65 Å (± 0.45 Å), and using a penalty factor of 100. </w:t>
      </w:r>
      <w:proofErr w:type="spellStart"/>
      <w:r w:rsidRPr="00427529">
        <w:t>U</w:t>
      </w:r>
      <w:r w:rsidRPr="00427529">
        <w:rPr>
          <w:vertAlign w:val="subscript"/>
        </w:rPr>
        <w:t>iso</w:t>
      </w:r>
      <w:proofErr w:type="spellEnd"/>
      <w:r w:rsidRPr="00427529">
        <w:t xml:space="preserve"> for the Co/Ni atoms were constrained to half of </w:t>
      </w:r>
      <w:proofErr w:type="spellStart"/>
      <w:r w:rsidRPr="00427529">
        <w:t>U</w:t>
      </w:r>
      <w:r w:rsidRPr="00427529">
        <w:rPr>
          <w:vertAlign w:val="subscript"/>
        </w:rPr>
        <w:t>iso</w:t>
      </w:r>
      <w:proofErr w:type="spellEnd"/>
      <w:r w:rsidRPr="00427529">
        <w:t xml:space="preserve"> for the La-atoms. The obtained R-factors were typically </w:t>
      </w:r>
      <w:proofErr w:type="spellStart"/>
      <w:r w:rsidRPr="00427529">
        <w:t>R</w:t>
      </w:r>
      <w:r w:rsidRPr="00427529">
        <w:rPr>
          <w:vertAlign w:val="subscript"/>
        </w:rPr>
        <w:t>wp</w:t>
      </w:r>
      <w:proofErr w:type="spellEnd"/>
      <w:r w:rsidRPr="00427529">
        <w:t xml:space="preserve"> ≈ 8 with </w:t>
      </w:r>
      <w:proofErr w:type="spellStart"/>
      <w:r w:rsidRPr="00427529">
        <w:t>R</w:t>
      </w:r>
      <w:r w:rsidRPr="00427529">
        <w:rPr>
          <w:vertAlign w:val="subscript"/>
        </w:rPr>
        <w:t>exp</w:t>
      </w:r>
      <w:proofErr w:type="spellEnd"/>
      <w:r w:rsidRPr="00427529">
        <w:t xml:space="preserve"> ≈ 5.</w:t>
      </w:r>
    </w:p>
    <w:p w:rsidR="0086575E" w:rsidRPr="00427529" w:rsidRDefault="0086575E" w:rsidP="008D16EE">
      <w:pPr>
        <w:jc w:val="both"/>
      </w:pPr>
      <w:r w:rsidRPr="00427529">
        <w:t xml:space="preserve">Magnetic property data were measured using a Quantum Design Physical Property Measurement System (PPMS) in the temperature range from </w:t>
      </w:r>
      <w:r w:rsidR="00C75F20">
        <w:t>4</w:t>
      </w:r>
      <w:r w:rsidRPr="00427529">
        <w:t xml:space="preserve"> to 300 K. All samples </w:t>
      </w:r>
      <w:r w:rsidRPr="00427529">
        <w:lastRenderedPageBreak/>
        <w:t xml:space="preserve">were held in gelatine capsules and studied at both zero field cooled (ZFC) and field cooled (FC) conditions, and measured upon heating. An applied magnetic field of 500 G was used. Measurements of magnetization at </w:t>
      </w:r>
      <w:r w:rsidR="00DA4BB1">
        <w:t>4</w:t>
      </w:r>
      <w:r w:rsidRPr="00427529">
        <w:t xml:space="preserve"> </w:t>
      </w:r>
      <w:r w:rsidR="0043102F" w:rsidRPr="00427529">
        <w:t xml:space="preserve">K </w:t>
      </w:r>
      <w:r w:rsidR="00DA4BB1">
        <w:t>– 7</w:t>
      </w:r>
      <w:r w:rsidRPr="00427529">
        <w:t xml:space="preserve">0 K were performed for various applied fields up to 9 Tesla. </w:t>
      </w:r>
    </w:p>
    <w:p w:rsidR="0086575E" w:rsidRPr="00427529" w:rsidRDefault="0086575E" w:rsidP="0086575E">
      <w:pPr>
        <w:pStyle w:val="Heading1"/>
        <w:numPr>
          <w:ilvl w:val="0"/>
          <w:numId w:val="25"/>
        </w:numPr>
        <w:ind w:left="567" w:hanging="567"/>
      </w:pPr>
      <w:r w:rsidRPr="00427529">
        <w:t>Results and discussion</w:t>
      </w:r>
    </w:p>
    <w:p w:rsidR="0086575E" w:rsidRPr="00427529" w:rsidRDefault="0086575E" w:rsidP="0086575E">
      <w:pPr>
        <w:pStyle w:val="Paragraph"/>
        <w:numPr>
          <w:ilvl w:val="1"/>
          <w:numId w:val="25"/>
        </w:numPr>
        <w:ind w:hanging="720"/>
      </w:pPr>
      <w:r w:rsidRPr="00427529">
        <w:rPr>
          <w:b/>
          <w:i/>
        </w:rPr>
        <w:t xml:space="preserve"> Crystal structure</w:t>
      </w:r>
      <w:r w:rsidRPr="00427529">
        <w:t xml:space="preserve">. </w:t>
      </w:r>
    </w:p>
    <w:p w:rsidR="0086575E" w:rsidRDefault="0086575E" w:rsidP="0086575E">
      <w:pPr>
        <w:jc w:val="both"/>
      </w:pPr>
      <w:r w:rsidRPr="00427529">
        <w:t xml:space="preserve">Phase pure samples of the complete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solid solution were obtained by wet chemical synthesis. For all eight investigated samples in the range 0.00 ≤ </w:t>
      </w:r>
      <w:r w:rsidRPr="00427529">
        <w:rPr>
          <w:i/>
        </w:rPr>
        <w:t>x</w:t>
      </w:r>
      <w:r w:rsidRPr="00427529">
        <w:t xml:space="preserve"> ≤ 1.00, the (117) Bragg reflection (XRD data) in the orthorhombic description of the RP3 unit cell shows peak broadening, as mentioned by Zhang and Greenblatt</w:t>
      </w:r>
      <w:proofErr w:type="gramStart"/>
      <w:r w:rsidRPr="00427529">
        <w:t>.[</w:t>
      </w:r>
      <w:proofErr w:type="gramEnd"/>
      <w:r w:rsidRPr="00427529">
        <w:t xml:space="preserve">4] By using the monoclinic unit cell of </w:t>
      </w:r>
      <w:proofErr w:type="spellStart"/>
      <w:r w:rsidRPr="00427529">
        <w:t>Fjellvåg</w:t>
      </w:r>
      <w:proofErr w:type="spellEnd"/>
      <w:r w:rsidRPr="00427529">
        <w:t xml:space="preserve"> </w:t>
      </w:r>
      <w:r w:rsidRPr="00427529">
        <w:rPr>
          <w:i/>
        </w:rPr>
        <w:t>et al.</w:t>
      </w:r>
      <w:r w:rsidRPr="00427529">
        <w:t xml:space="preserve">,[6] the Pawley profile fit is improved and the broadening of (117) is consistent with symmetry lowering to monoclinic. The variation of unit cell dimensions is shown in Figure 1. The </w:t>
      </w:r>
      <w:r w:rsidRPr="00427529">
        <w:rPr>
          <w:i/>
        </w:rPr>
        <w:t>a</w:t>
      </w:r>
      <w:r w:rsidRPr="00427529">
        <w:t xml:space="preserve">- and </w:t>
      </w:r>
      <w:r w:rsidRPr="00427529">
        <w:rPr>
          <w:i/>
        </w:rPr>
        <w:t>b-</w:t>
      </w:r>
      <w:r w:rsidRPr="00427529">
        <w:t xml:space="preserve">axes are fairly constant, whereas the </w:t>
      </w:r>
      <w:r w:rsidRPr="00427529">
        <w:rPr>
          <w:i/>
        </w:rPr>
        <w:t>c-</w:t>
      </w:r>
      <w:r w:rsidRPr="00427529">
        <w:t xml:space="preserve">axis expands with increased Ni-content and the monoclinic distortion diminishes. The unit cell volume is quite constant for </w:t>
      </w:r>
      <w:r w:rsidRPr="00427529">
        <w:rPr>
          <w:i/>
        </w:rPr>
        <w:t>x</w:t>
      </w:r>
      <w:r w:rsidRPr="00427529">
        <w:t xml:space="preserve"> &lt; 0.50, where after it increases towards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t xml:space="preserve">, see Figure 1. </w:t>
      </w:r>
    </w:p>
    <w:p w:rsidR="00D115E6" w:rsidRPr="00427529" w:rsidRDefault="00D115E6" w:rsidP="00D115E6">
      <w:pPr>
        <w:jc w:val="center"/>
      </w:pPr>
      <w:r>
        <w:rPr>
          <w:b/>
          <w:i/>
          <w:noProof/>
          <w:sz w:val="20"/>
          <w:lang w:val="en-US" w:eastAsia="zh-CN"/>
        </w:rPr>
        <w:drawing>
          <wp:inline distT="0" distB="0" distL="0" distR="0" wp14:anchorId="0C81FA17" wp14:editId="71640E88">
            <wp:extent cx="2856874" cy="2009954"/>
            <wp:effectExtent l="0" t="0" r="0" b="9525"/>
            <wp:docPr id="11" name="Picture 11" descr="C:\Users\mariusun\Desktop\abcbetavolumeversu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usun\Desktop\abcbetavolumeversus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803" cy="2009904"/>
                    </a:xfrm>
                    <a:prstGeom prst="rect">
                      <a:avLst/>
                    </a:prstGeom>
                    <a:noFill/>
                    <a:ln>
                      <a:noFill/>
                    </a:ln>
                  </pic:spPr>
                </pic:pic>
              </a:graphicData>
            </a:graphic>
          </wp:inline>
        </w:drawing>
      </w:r>
    </w:p>
    <w:p w:rsidR="0086575E" w:rsidRPr="00427529" w:rsidRDefault="0086575E" w:rsidP="0086575E">
      <w:pPr>
        <w:pStyle w:val="Figurecaption"/>
      </w:pPr>
      <w:proofErr w:type="gramStart"/>
      <w:r w:rsidRPr="00427529">
        <w:rPr>
          <w:b/>
        </w:rPr>
        <w:t>Figure 1.</w:t>
      </w:r>
      <w:proofErr w:type="gramEnd"/>
      <w:r w:rsidRPr="00427529">
        <w:rPr>
          <w:b/>
        </w:rPr>
        <w:t xml:space="preserve"> </w:t>
      </w:r>
      <w:r w:rsidRPr="00427529">
        <w:t xml:space="preserve">Unit cell dimensions for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at ambient temperature, space group </w:t>
      </w:r>
      <w:r w:rsidRPr="00427529">
        <w:rPr>
          <w:i/>
        </w:rPr>
        <w:t>P2</w:t>
      </w:r>
      <w:r w:rsidRPr="00427529">
        <w:rPr>
          <w:i/>
          <w:vertAlign w:val="subscript"/>
        </w:rPr>
        <w:t>1</w:t>
      </w:r>
      <w:r w:rsidRPr="00427529">
        <w:rPr>
          <w:i/>
        </w:rPr>
        <w:t>/a</w:t>
      </w:r>
      <w:r w:rsidRPr="00427529">
        <w:t>.</w:t>
      </w:r>
    </w:p>
    <w:p w:rsidR="0086575E" w:rsidRPr="00427529" w:rsidRDefault="0086575E" w:rsidP="0086575E"/>
    <w:p w:rsidR="0086575E" w:rsidRDefault="0086575E" w:rsidP="0086575E">
      <w:pPr>
        <w:jc w:val="both"/>
      </w:pPr>
      <w:r w:rsidRPr="00427529">
        <w:t xml:space="preserve">Crystallographic data obtained from the </w:t>
      </w:r>
      <w:proofErr w:type="spellStart"/>
      <w:r w:rsidRPr="00427529">
        <w:t>Rietveld</w:t>
      </w:r>
      <w:proofErr w:type="spellEnd"/>
      <w:r w:rsidRPr="00427529">
        <w:t xml:space="preserve"> refinements are listed in Table 1, as exemplified by </w:t>
      </w:r>
      <w:r w:rsidRPr="00427529">
        <w:rPr>
          <w:i/>
        </w:rPr>
        <w:t>x</w:t>
      </w:r>
      <w:r w:rsidRPr="00427529">
        <w:t xml:space="preserve"> = 0.20. The unit cell dimensions from XRD were used as starting point for the refinements, owing to a better peak resolution. Likewise, the atomic coordinates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space group </w:t>
      </w:r>
      <w:r w:rsidRPr="00427529">
        <w:rPr>
          <w:i/>
        </w:rPr>
        <w:t>P2</w:t>
      </w:r>
      <w:r w:rsidRPr="00427529">
        <w:rPr>
          <w:i/>
          <w:vertAlign w:val="subscript"/>
        </w:rPr>
        <w:t>1</w:t>
      </w:r>
      <w:r w:rsidRPr="00427529">
        <w:rPr>
          <w:i/>
        </w:rPr>
        <w:t>/a</w:t>
      </w:r>
      <w:r w:rsidRPr="00427529">
        <w:t>, were used as starting point. Due to the large number of non-equivalent atoms and the limited resolution and statistics of the PND data, distance restraints were adopted for the La</w:t>
      </w:r>
      <w:r w:rsidRPr="00427529">
        <w:sym w:font="Symbol" w:char="F02D"/>
      </w:r>
      <w:r w:rsidRPr="00427529">
        <w:t>O and Ni/Co</w:t>
      </w:r>
      <w:r w:rsidRPr="00427529">
        <w:sym w:font="Symbol" w:char="F02D"/>
      </w:r>
      <w:r w:rsidRPr="00427529">
        <w:t>O separations, see experimental. The refinements gave no indications for any ordering of the Ni and Co atoms, in line with their similar sizes and electronic properties. Representative examples of fitted PND patterns are given in Figure 2. The results for the six examined samples show no major deviations from the presented data in Figure 2 and Table 1.</w:t>
      </w:r>
    </w:p>
    <w:p w:rsidR="00D115E6" w:rsidRPr="00427529" w:rsidRDefault="00D115E6" w:rsidP="00D115E6">
      <w:pPr>
        <w:jc w:val="center"/>
      </w:pPr>
      <w:r>
        <w:rPr>
          <w:b/>
          <w:i/>
          <w:noProof/>
          <w:lang w:val="en-US" w:eastAsia="zh-CN"/>
        </w:rPr>
        <w:drawing>
          <wp:inline distT="0" distB="0" distL="0" distR="0" wp14:anchorId="3D34687E" wp14:editId="1E997A79">
            <wp:extent cx="2647666" cy="1853487"/>
            <wp:effectExtent l="0" t="0" r="0" b="0"/>
            <wp:docPr id="12" name="Picture 12" descr="C:\Users\mariusun\Desktop\Fig2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usun\Desktop\Fig2lef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493" cy="1858966"/>
                    </a:xfrm>
                    <a:prstGeom prst="rect">
                      <a:avLst/>
                    </a:prstGeom>
                    <a:noFill/>
                    <a:ln>
                      <a:noFill/>
                    </a:ln>
                  </pic:spPr>
                </pic:pic>
              </a:graphicData>
            </a:graphic>
          </wp:inline>
        </w:drawing>
      </w:r>
      <w:r>
        <w:rPr>
          <w:b/>
          <w:i/>
          <w:noProof/>
          <w:lang w:val="en-US" w:eastAsia="zh-CN"/>
        </w:rPr>
        <w:drawing>
          <wp:inline distT="0" distB="0" distL="0" distR="0" wp14:anchorId="282B9CD5" wp14:editId="2C2C5DBD">
            <wp:extent cx="2646000" cy="1852323"/>
            <wp:effectExtent l="0" t="0" r="0" b="0"/>
            <wp:docPr id="13" name="Picture 13" descr="C:\Users\mariusun\Desktop\Fig2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un\Desktop\Fig2righ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00" cy="1852323"/>
                    </a:xfrm>
                    <a:prstGeom prst="rect">
                      <a:avLst/>
                    </a:prstGeom>
                    <a:noFill/>
                    <a:ln>
                      <a:noFill/>
                    </a:ln>
                  </pic:spPr>
                </pic:pic>
              </a:graphicData>
            </a:graphic>
          </wp:inline>
        </w:drawing>
      </w:r>
    </w:p>
    <w:p w:rsidR="0086575E" w:rsidRPr="00427529" w:rsidRDefault="0086575E" w:rsidP="0086575E">
      <w:pPr>
        <w:pStyle w:val="Figurecaption"/>
      </w:pPr>
      <w:proofErr w:type="gramStart"/>
      <w:r w:rsidRPr="00427529">
        <w:rPr>
          <w:b/>
        </w:rPr>
        <w:t>Figure 2.</w:t>
      </w:r>
      <w:proofErr w:type="gramEnd"/>
      <w:r w:rsidRPr="00427529">
        <w:rPr>
          <w:b/>
        </w:rPr>
        <w:t xml:space="preserve"> </w:t>
      </w:r>
      <w:r w:rsidRPr="00427529">
        <w:t xml:space="preserve">Observed (open circles), calculated (red solid line) and difference (blue solid line) powder neutron diffraction patterns of </w:t>
      </w:r>
      <w:proofErr w:type="gramStart"/>
      <w:r w:rsidR="0043102F" w:rsidRPr="00427529">
        <w:t>La</w:t>
      </w:r>
      <w:r w:rsidR="0043102F" w:rsidRPr="00427529">
        <w:rPr>
          <w:vertAlign w:val="subscript"/>
        </w:rPr>
        <w:t>4</w:t>
      </w:r>
      <w:r w:rsidR="0043102F" w:rsidRPr="00427529">
        <w:t>(</w:t>
      </w:r>
      <w:proofErr w:type="gramEnd"/>
      <w:r w:rsidR="0043102F" w:rsidRPr="00427529">
        <w:t>Co</w:t>
      </w:r>
      <w:r w:rsidR="0043102F" w:rsidRPr="00427529">
        <w:rPr>
          <w:vertAlign w:val="subscript"/>
        </w:rPr>
        <w:t>1</w:t>
      </w:r>
      <w:r w:rsidR="0043102F" w:rsidRPr="00427529">
        <w:rPr>
          <w:vertAlign w:val="subscript"/>
        </w:rPr>
        <w:sym w:font="Symbol" w:char="F02D"/>
      </w:r>
      <w:proofErr w:type="spellStart"/>
      <w:r w:rsidR="0043102F" w:rsidRPr="00427529">
        <w:rPr>
          <w:i/>
          <w:vertAlign w:val="subscript"/>
        </w:rPr>
        <w:t>x</w:t>
      </w:r>
      <w:r w:rsidR="0043102F" w:rsidRPr="00427529">
        <w:t>Ni</w:t>
      </w:r>
      <w:r w:rsidR="0043102F" w:rsidRPr="00427529">
        <w:rPr>
          <w:i/>
          <w:vertAlign w:val="subscript"/>
        </w:rPr>
        <w:t>x</w:t>
      </w:r>
      <w:proofErr w:type="spellEnd"/>
      <w:r w:rsidR="0043102F" w:rsidRPr="00427529">
        <w:t>)</w:t>
      </w:r>
      <w:r w:rsidR="0043102F" w:rsidRPr="00427529">
        <w:rPr>
          <w:vertAlign w:val="subscript"/>
        </w:rPr>
        <w:t>3</w:t>
      </w:r>
      <w:r w:rsidR="0043102F" w:rsidRPr="00427529">
        <w:t>O</w:t>
      </w:r>
      <w:r w:rsidR="0043102F" w:rsidRPr="00427529">
        <w:rPr>
          <w:vertAlign w:val="subscript"/>
        </w:rPr>
        <w:t>10</w:t>
      </w:r>
      <w:r w:rsidR="0043102F" w:rsidRPr="00427529">
        <w:t xml:space="preserve"> </w:t>
      </w:r>
      <w:r w:rsidRPr="00427529">
        <w:t xml:space="preserve">at ambient temperature and vertical green bars as positions for reflections, space group </w:t>
      </w:r>
      <w:r w:rsidRPr="00427529">
        <w:rPr>
          <w:i/>
        </w:rPr>
        <w:t>P2</w:t>
      </w:r>
      <w:r w:rsidRPr="00427529">
        <w:rPr>
          <w:i/>
          <w:vertAlign w:val="subscript"/>
        </w:rPr>
        <w:t>1</w:t>
      </w:r>
      <w:r w:rsidRPr="00427529">
        <w:rPr>
          <w:i/>
        </w:rPr>
        <w:t>/a</w:t>
      </w:r>
      <w:r w:rsidRPr="00427529">
        <w:t xml:space="preserve">; left panel </w:t>
      </w:r>
      <w:r w:rsidRPr="00427529">
        <w:rPr>
          <w:i/>
        </w:rPr>
        <w:t>x</w:t>
      </w:r>
      <w:r w:rsidRPr="00427529">
        <w:t xml:space="preserve"> = 0.80; right panel </w:t>
      </w:r>
      <w:r w:rsidRPr="00427529">
        <w:rPr>
          <w:i/>
        </w:rPr>
        <w:t>x</w:t>
      </w:r>
      <w:r w:rsidRPr="00427529">
        <w:t xml:space="preserve"> = 1.00.</w:t>
      </w:r>
    </w:p>
    <w:p w:rsidR="0086575E" w:rsidRDefault="0086575E" w:rsidP="0086575E"/>
    <w:p w:rsidR="002A60FE" w:rsidRDefault="002A60FE" w:rsidP="0086575E"/>
    <w:p w:rsidR="002A60FE" w:rsidRDefault="002A60FE" w:rsidP="0086575E"/>
    <w:p w:rsidR="00553723" w:rsidRDefault="00553723" w:rsidP="00553723">
      <w:pPr>
        <w:pStyle w:val="Figurecaption"/>
      </w:pPr>
      <w:proofErr w:type="gramStart"/>
      <w:r w:rsidRPr="00427529">
        <w:rPr>
          <w:b/>
        </w:rPr>
        <w:lastRenderedPageBreak/>
        <w:t>Table 1.</w:t>
      </w:r>
      <w:proofErr w:type="gramEnd"/>
      <w:r w:rsidRPr="00427529">
        <w:t xml:space="preserve"> Atomic coordinates for </w:t>
      </w:r>
      <w:proofErr w:type="gramStart"/>
      <w:r w:rsidRPr="00427529">
        <w:t>La</w:t>
      </w:r>
      <w:r w:rsidRPr="00427529">
        <w:rPr>
          <w:vertAlign w:val="subscript"/>
        </w:rPr>
        <w:t>4</w:t>
      </w:r>
      <w:r w:rsidRPr="00427529">
        <w:t>(</w:t>
      </w:r>
      <w:proofErr w:type="gramEnd"/>
      <w:r w:rsidRPr="00427529">
        <w:t>Co</w:t>
      </w:r>
      <w:r w:rsidRPr="00427529">
        <w:rPr>
          <w:vertAlign w:val="subscript"/>
        </w:rPr>
        <w:t>1–</w:t>
      </w:r>
      <w:proofErr w:type="spellStart"/>
      <w:r w:rsidRPr="00427529">
        <w:rPr>
          <w:vertAlign w:val="subscript"/>
        </w:rPr>
        <w:t>x</w:t>
      </w:r>
      <w:r w:rsidRPr="00427529">
        <w:t>Ni</w:t>
      </w:r>
      <w:r w:rsidRPr="00427529">
        <w:rPr>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with </w:t>
      </w:r>
      <w:r w:rsidRPr="00427529">
        <w:rPr>
          <w:i/>
        </w:rPr>
        <w:t>x</w:t>
      </w:r>
      <w:r w:rsidRPr="00427529">
        <w:t xml:space="preserve"> = 0.20 as derived from </w:t>
      </w:r>
      <w:proofErr w:type="spellStart"/>
      <w:r w:rsidRPr="00427529">
        <w:t>Rietveld</w:t>
      </w:r>
      <w:proofErr w:type="spellEnd"/>
      <w:r w:rsidRPr="00427529">
        <w:t xml:space="preserve"> refinements of PND data at room temperature. Space group </w:t>
      </w:r>
      <w:r w:rsidRPr="00427529">
        <w:rPr>
          <w:i/>
        </w:rPr>
        <w:t>P2</w:t>
      </w:r>
      <w:r w:rsidRPr="00427529">
        <w:rPr>
          <w:i/>
          <w:vertAlign w:val="subscript"/>
        </w:rPr>
        <w:t>1</w:t>
      </w:r>
      <w:r w:rsidRPr="00427529">
        <w:rPr>
          <w:i/>
        </w:rPr>
        <w:t>/a.</w:t>
      </w:r>
      <w:r w:rsidRPr="00427529">
        <w:t xml:space="preserve"> </w:t>
      </w:r>
      <w:proofErr w:type="gramStart"/>
      <w:r w:rsidRPr="00427529">
        <w:t>Calculated</w:t>
      </w:r>
      <w:proofErr w:type="gramEnd"/>
      <w:r w:rsidRPr="00427529">
        <w:t xml:space="preserve"> standard deviations in parentheses.</w:t>
      </w:r>
    </w:p>
    <w:tbl>
      <w:tblPr>
        <w:tblW w:w="9073" w:type="dxa"/>
        <w:jc w:val="center"/>
        <w:tblInd w:w="-176" w:type="dxa"/>
        <w:tblLayout w:type="fixed"/>
        <w:tblLook w:val="0020" w:firstRow="1" w:lastRow="0" w:firstColumn="0" w:lastColumn="0" w:noHBand="0" w:noVBand="0"/>
      </w:tblPr>
      <w:tblGrid>
        <w:gridCol w:w="1512"/>
        <w:gridCol w:w="1512"/>
        <w:gridCol w:w="1512"/>
        <w:gridCol w:w="1512"/>
        <w:gridCol w:w="1512"/>
        <w:gridCol w:w="1513"/>
      </w:tblGrid>
      <w:tr w:rsidR="00DE4E93" w:rsidRPr="00427529" w:rsidTr="00DE4E93">
        <w:trPr>
          <w:trHeight w:val="729"/>
          <w:jc w:val="center"/>
        </w:trPr>
        <w:tc>
          <w:tcPr>
            <w:tcW w:w="1512"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kern w:val="2"/>
                <w:lang w:eastAsia="ar-SA"/>
              </w:rPr>
            </w:pPr>
            <w:r w:rsidRPr="00427529">
              <w:rPr>
                <w:b/>
              </w:rPr>
              <w:t>Atom</w:t>
            </w:r>
          </w:p>
        </w:tc>
        <w:tc>
          <w:tcPr>
            <w:tcW w:w="1512"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kern w:val="2"/>
                <w:lang w:eastAsia="ar-SA"/>
              </w:rPr>
            </w:pPr>
            <w:r w:rsidRPr="00427529">
              <w:rPr>
                <w:b/>
              </w:rPr>
              <w:t>Wyckoff position</w:t>
            </w:r>
          </w:p>
        </w:tc>
        <w:tc>
          <w:tcPr>
            <w:tcW w:w="1512"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i/>
                <w:kern w:val="2"/>
                <w:lang w:eastAsia="ar-SA"/>
              </w:rPr>
            </w:pPr>
            <w:r w:rsidRPr="00427529">
              <w:rPr>
                <w:b/>
                <w:i/>
              </w:rPr>
              <w:t>x</w:t>
            </w:r>
          </w:p>
        </w:tc>
        <w:tc>
          <w:tcPr>
            <w:tcW w:w="1512"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i/>
                <w:kern w:val="2"/>
                <w:lang w:eastAsia="ar-SA"/>
              </w:rPr>
            </w:pPr>
            <w:r w:rsidRPr="00427529">
              <w:rPr>
                <w:b/>
                <w:i/>
              </w:rPr>
              <w:t>y</w:t>
            </w:r>
          </w:p>
        </w:tc>
        <w:tc>
          <w:tcPr>
            <w:tcW w:w="1512"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i/>
                <w:kern w:val="2"/>
                <w:lang w:eastAsia="ar-SA"/>
              </w:rPr>
            </w:pPr>
            <w:r w:rsidRPr="00427529">
              <w:rPr>
                <w:b/>
                <w:i/>
              </w:rPr>
              <w:t>Z</w:t>
            </w:r>
          </w:p>
        </w:tc>
        <w:tc>
          <w:tcPr>
            <w:tcW w:w="1513" w:type="dxa"/>
            <w:tcBorders>
              <w:top w:val="single" w:sz="4" w:space="0" w:color="auto"/>
              <w:left w:val="nil"/>
              <w:bottom w:val="single" w:sz="4" w:space="0" w:color="auto"/>
              <w:right w:val="nil"/>
            </w:tcBorders>
            <w:hideMark/>
          </w:tcPr>
          <w:p w:rsidR="00DE4E93" w:rsidRPr="00427529" w:rsidRDefault="00DE4E93" w:rsidP="005C1918">
            <w:pPr>
              <w:widowControl w:val="0"/>
              <w:suppressAutoHyphens/>
              <w:snapToGrid w:val="0"/>
              <w:spacing w:line="240" w:lineRule="auto"/>
              <w:contextualSpacing/>
              <w:jc w:val="center"/>
              <w:rPr>
                <w:b/>
                <w:kern w:val="2"/>
                <w:lang w:eastAsia="ar-SA"/>
              </w:rPr>
            </w:pPr>
            <w:proofErr w:type="spellStart"/>
            <w:r w:rsidRPr="00427529">
              <w:rPr>
                <w:b/>
                <w:i/>
              </w:rPr>
              <w:t>U</w:t>
            </w:r>
            <w:r w:rsidRPr="00427529">
              <w:rPr>
                <w:b/>
                <w:vertAlign w:val="subscript"/>
              </w:rPr>
              <w:t>iso</w:t>
            </w:r>
            <w:proofErr w:type="spellEnd"/>
            <w:r w:rsidRPr="00427529">
              <w:rPr>
                <w:b/>
              </w:rPr>
              <w:t xml:space="preserve"> (10</w:t>
            </w:r>
            <w:r w:rsidRPr="00427529">
              <w:rPr>
                <w:b/>
                <w:vertAlign w:val="superscript"/>
              </w:rPr>
              <w:sym w:font="Symbol" w:char="F02D"/>
            </w:r>
            <w:r w:rsidRPr="00427529">
              <w:rPr>
                <w:b/>
                <w:vertAlign w:val="superscript"/>
              </w:rPr>
              <w:t>2</w:t>
            </w:r>
            <w:r w:rsidRPr="00427529">
              <w:rPr>
                <w:b/>
              </w:rPr>
              <w:t xml:space="preserve"> Å</w:t>
            </w:r>
            <w:r w:rsidRPr="00427529">
              <w:rPr>
                <w:b/>
                <w:vertAlign w:val="superscript"/>
              </w:rPr>
              <w:t>2</w:t>
            </w:r>
            <w:r w:rsidRPr="00427529">
              <w:rPr>
                <w:b/>
              </w:rPr>
              <w:t>)</w:t>
            </w:r>
          </w:p>
        </w:tc>
      </w:tr>
      <w:tr w:rsidR="00DE4E93" w:rsidRPr="00427529" w:rsidTr="00DE4E93">
        <w:trPr>
          <w:trHeight w:val="507"/>
          <w:jc w:val="center"/>
        </w:trPr>
        <w:tc>
          <w:tcPr>
            <w:tcW w:w="1512" w:type="dxa"/>
            <w:tcBorders>
              <w:top w:val="single" w:sz="4" w:space="0" w:color="auto"/>
              <w:left w:val="nil"/>
              <w:bottom w:val="nil"/>
              <w:right w:val="nil"/>
            </w:tcBorders>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La1</w:t>
            </w:r>
          </w:p>
        </w:tc>
        <w:tc>
          <w:tcPr>
            <w:tcW w:w="1512" w:type="dxa"/>
            <w:tcBorders>
              <w:top w:val="single" w:sz="4" w:space="0" w:color="auto"/>
              <w:left w:val="nil"/>
              <w:bottom w:val="nil"/>
              <w:right w:val="nil"/>
            </w:tcBorders>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tcBorders>
              <w:top w:val="single" w:sz="4" w:space="0" w:color="auto"/>
              <w:left w:val="nil"/>
              <w:bottom w:val="nil"/>
              <w:right w:val="nil"/>
            </w:tcBorders>
            <w:hideMark/>
          </w:tcPr>
          <w:p w:rsidR="00DE4E93" w:rsidRPr="00427529" w:rsidRDefault="00DE4E93" w:rsidP="005C1918">
            <w:pPr>
              <w:spacing w:line="240" w:lineRule="auto"/>
              <w:contextualSpacing/>
              <w:jc w:val="center"/>
            </w:pPr>
            <w:r w:rsidRPr="00427529">
              <w:t>0.007(4)</w:t>
            </w:r>
          </w:p>
        </w:tc>
        <w:tc>
          <w:tcPr>
            <w:tcW w:w="1512" w:type="dxa"/>
            <w:tcBorders>
              <w:top w:val="single" w:sz="4" w:space="0" w:color="auto"/>
              <w:left w:val="nil"/>
              <w:bottom w:val="nil"/>
              <w:right w:val="nil"/>
            </w:tcBorders>
            <w:hideMark/>
          </w:tcPr>
          <w:p w:rsidR="00DE4E93" w:rsidRPr="00427529" w:rsidRDefault="00DE4E93" w:rsidP="005C1918">
            <w:pPr>
              <w:spacing w:line="240" w:lineRule="auto"/>
              <w:contextualSpacing/>
              <w:jc w:val="center"/>
            </w:pPr>
            <w:r w:rsidRPr="00427529">
              <w:t>0.000(4)</w:t>
            </w:r>
          </w:p>
        </w:tc>
        <w:tc>
          <w:tcPr>
            <w:tcW w:w="1512" w:type="dxa"/>
            <w:tcBorders>
              <w:top w:val="single" w:sz="4" w:space="0" w:color="auto"/>
              <w:left w:val="nil"/>
              <w:bottom w:val="nil"/>
              <w:right w:val="nil"/>
            </w:tcBorders>
            <w:hideMark/>
          </w:tcPr>
          <w:p w:rsidR="00DE4E93" w:rsidRPr="00427529" w:rsidRDefault="00DE4E93" w:rsidP="005C1918">
            <w:pPr>
              <w:spacing w:line="240" w:lineRule="auto"/>
              <w:contextualSpacing/>
              <w:jc w:val="center"/>
            </w:pPr>
            <w:r w:rsidRPr="00427529">
              <w:t>0.3016(5)</w:t>
            </w:r>
          </w:p>
        </w:tc>
        <w:tc>
          <w:tcPr>
            <w:tcW w:w="1513" w:type="dxa"/>
            <w:tcBorders>
              <w:top w:val="single" w:sz="4" w:space="0" w:color="auto"/>
              <w:left w:val="nil"/>
              <w:bottom w:val="nil"/>
              <w:right w:val="nil"/>
            </w:tcBorders>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0.32(7)</w:t>
            </w:r>
          </w:p>
        </w:tc>
      </w:tr>
      <w:tr w:rsidR="00DE4E93" w:rsidRPr="00427529" w:rsidTr="00DE4E93">
        <w:trPr>
          <w:trHeight w:val="439"/>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La2</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0.496(5)</w:t>
            </w:r>
          </w:p>
        </w:tc>
        <w:tc>
          <w:tcPr>
            <w:tcW w:w="1512" w:type="dxa"/>
            <w:hideMark/>
          </w:tcPr>
          <w:p w:rsidR="00DE4E93" w:rsidRPr="00427529" w:rsidRDefault="00DE4E93" w:rsidP="005C1918">
            <w:pPr>
              <w:spacing w:line="240" w:lineRule="auto"/>
              <w:contextualSpacing/>
              <w:jc w:val="center"/>
            </w:pPr>
            <w:r w:rsidRPr="00427529">
              <w:t>0.022(3)</w:t>
            </w:r>
          </w:p>
        </w:tc>
        <w:tc>
          <w:tcPr>
            <w:tcW w:w="1512" w:type="dxa"/>
            <w:hideMark/>
          </w:tcPr>
          <w:p w:rsidR="00DE4E93" w:rsidRPr="00427529" w:rsidRDefault="00DE4E93" w:rsidP="005C1918">
            <w:pPr>
              <w:spacing w:line="240" w:lineRule="auto"/>
              <w:contextualSpacing/>
              <w:jc w:val="center"/>
            </w:pPr>
            <w:r w:rsidRPr="00427529">
              <w:t>0.8038(6)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0.32(7)</w:t>
            </w:r>
          </w:p>
        </w:tc>
      </w:tr>
      <w:tr w:rsidR="00DE4E93" w:rsidRPr="00427529" w:rsidTr="00DE4E93">
        <w:trPr>
          <w:trHeight w:val="518"/>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La3</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0.018(4)</w:t>
            </w:r>
          </w:p>
        </w:tc>
        <w:tc>
          <w:tcPr>
            <w:tcW w:w="1512" w:type="dxa"/>
            <w:hideMark/>
          </w:tcPr>
          <w:p w:rsidR="00DE4E93" w:rsidRPr="00427529" w:rsidRDefault="00DE4E93" w:rsidP="005C1918">
            <w:pPr>
              <w:spacing w:line="240" w:lineRule="auto"/>
              <w:contextualSpacing/>
              <w:jc w:val="center"/>
            </w:pPr>
            <w:r w:rsidRPr="00427529">
              <w:t>1.006(3)</w:t>
            </w:r>
          </w:p>
        </w:tc>
        <w:tc>
          <w:tcPr>
            <w:tcW w:w="1512" w:type="dxa"/>
            <w:hideMark/>
          </w:tcPr>
          <w:p w:rsidR="00DE4E93" w:rsidRPr="00427529" w:rsidRDefault="00DE4E93" w:rsidP="005C1918">
            <w:pPr>
              <w:spacing w:line="240" w:lineRule="auto"/>
              <w:contextualSpacing/>
              <w:jc w:val="center"/>
            </w:pPr>
            <w:r w:rsidRPr="00427529">
              <w:t>0.4303(6)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0.32(7)</w:t>
            </w:r>
          </w:p>
        </w:tc>
      </w:tr>
      <w:tr w:rsidR="00DE4E93" w:rsidRPr="00427529" w:rsidTr="00DE4E93">
        <w:trPr>
          <w:trHeight w:val="440"/>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La4</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0.506(4)</w:t>
            </w:r>
          </w:p>
        </w:tc>
        <w:tc>
          <w:tcPr>
            <w:tcW w:w="1512" w:type="dxa"/>
            <w:hideMark/>
          </w:tcPr>
          <w:p w:rsidR="00DE4E93" w:rsidRPr="00427529" w:rsidRDefault="00DE4E93" w:rsidP="005C1918">
            <w:pPr>
              <w:spacing w:line="240" w:lineRule="auto"/>
              <w:contextualSpacing/>
              <w:jc w:val="center"/>
            </w:pPr>
            <w:r w:rsidRPr="00427529">
              <w:sym w:font="Symbol" w:char="F02D"/>
            </w:r>
            <w:r w:rsidRPr="00427529">
              <w:t>0.001(3)</w:t>
            </w:r>
          </w:p>
        </w:tc>
        <w:tc>
          <w:tcPr>
            <w:tcW w:w="1512" w:type="dxa"/>
            <w:hideMark/>
          </w:tcPr>
          <w:p w:rsidR="00DE4E93" w:rsidRPr="00427529" w:rsidRDefault="00DE4E93" w:rsidP="005C1918">
            <w:pPr>
              <w:spacing w:line="240" w:lineRule="auto"/>
              <w:contextualSpacing/>
              <w:jc w:val="center"/>
            </w:pPr>
            <w:r w:rsidRPr="00427529">
              <w:t>0.9311(6)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0.32(7)</w:t>
            </w:r>
          </w:p>
        </w:tc>
      </w:tr>
      <w:tr w:rsidR="00DE4E93" w:rsidRPr="00427529" w:rsidTr="00DE4E93">
        <w:trPr>
          <w:trHeight w:val="426"/>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w:t>
            </w:r>
            <w:proofErr w:type="spellStart"/>
            <w:r w:rsidRPr="00427529">
              <w:rPr>
                <w:rFonts w:eastAsia="MS PGothic"/>
              </w:rPr>
              <w:t>Ni,Co</w:t>
            </w:r>
            <w:proofErr w:type="spellEnd"/>
            <w:r w:rsidRPr="00427529">
              <w:rPr>
                <w:rFonts w:eastAsia="MS PGothic"/>
              </w:rPr>
              <w:t>)1</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2</w:t>
            </w:r>
            <w:r w:rsidRPr="00427529">
              <w:rPr>
                <w:i/>
              </w:rPr>
              <w:t>b</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½</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1/2</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0.16(4)</w:t>
            </w:r>
          </w:p>
        </w:tc>
      </w:tr>
      <w:tr w:rsidR="00DE4E93" w:rsidRPr="00427529" w:rsidTr="00DE4E93">
        <w:trPr>
          <w:trHeight w:val="408"/>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w:t>
            </w:r>
            <w:proofErr w:type="spellStart"/>
            <w:r w:rsidRPr="00427529">
              <w:rPr>
                <w:rFonts w:eastAsia="MS PGothic"/>
              </w:rPr>
              <w:t>Ni,Co</w:t>
            </w:r>
            <w:proofErr w:type="spellEnd"/>
            <w:r w:rsidRPr="00427529">
              <w:rPr>
                <w:rFonts w:eastAsia="MS PGothic"/>
              </w:rPr>
              <w:t>)2</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2</w:t>
            </w:r>
            <w:r w:rsidRPr="00427529">
              <w:rPr>
                <w:i/>
              </w:rPr>
              <w:t>a</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kern w:val="2"/>
                <w:lang w:eastAsia="ar-SA"/>
              </w:rPr>
              <w:t>0</w:t>
            </w:r>
          </w:p>
        </w:tc>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0.16(4)</w:t>
            </w:r>
          </w:p>
        </w:tc>
      </w:tr>
      <w:tr w:rsidR="00DE4E93" w:rsidRPr="00427529" w:rsidTr="00DE4E93">
        <w:trPr>
          <w:trHeight w:val="409"/>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w:t>
            </w:r>
            <w:proofErr w:type="spellStart"/>
            <w:r w:rsidRPr="00427529">
              <w:rPr>
                <w:rFonts w:eastAsia="MS PGothic"/>
              </w:rPr>
              <w:t>Ni,Co</w:t>
            </w:r>
            <w:proofErr w:type="spellEnd"/>
            <w:r w:rsidRPr="00427529">
              <w:rPr>
                <w:rFonts w:eastAsia="MS PGothic"/>
              </w:rPr>
              <w:t>)3</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sym w:font="Symbol" w:char="F02D"/>
            </w:r>
            <w:r w:rsidRPr="00427529">
              <w:t>0.005(7)</w:t>
            </w:r>
          </w:p>
        </w:tc>
        <w:tc>
          <w:tcPr>
            <w:tcW w:w="1512" w:type="dxa"/>
            <w:hideMark/>
          </w:tcPr>
          <w:p w:rsidR="00DE4E93" w:rsidRPr="00427529" w:rsidRDefault="00DE4E93" w:rsidP="005C1918">
            <w:pPr>
              <w:spacing w:line="240" w:lineRule="auto"/>
              <w:contextualSpacing/>
              <w:jc w:val="center"/>
            </w:pPr>
            <w:r w:rsidRPr="00427529">
              <w:sym w:font="Symbol" w:char="F02D"/>
            </w:r>
            <w:r w:rsidRPr="00427529">
              <w:t>0.003(1)</w:t>
            </w:r>
          </w:p>
        </w:tc>
        <w:tc>
          <w:tcPr>
            <w:tcW w:w="1512" w:type="dxa"/>
            <w:hideMark/>
          </w:tcPr>
          <w:p w:rsidR="00DE4E93" w:rsidRPr="00427529" w:rsidRDefault="00DE4E93" w:rsidP="005C1918">
            <w:pPr>
              <w:spacing w:line="240" w:lineRule="auto"/>
              <w:contextualSpacing/>
              <w:jc w:val="center"/>
            </w:pPr>
            <w:r w:rsidRPr="00427529">
              <w:t>0.1407(2)</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0.16(4)</w:t>
            </w:r>
          </w:p>
        </w:tc>
      </w:tr>
      <w:tr w:rsidR="00DE4E93" w:rsidRPr="00427529" w:rsidTr="00DE4E93">
        <w:trPr>
          <w:trHeight w:val="516"/>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w:t>
            </w:r>
            <w:proofErr w:type="spellStart"/>
            <w:r w:rsidRPr="00427529">
              <w:rPr>
                <w:rFonts w:eastAsia="MS PGothic"/>
              </w:rPr>
              <w:t>Ni,Co</w:t>
            </w:r>
            <w:proofErr w:type="spellEnd"/>
            <w:r w:rsidRPr="00427529">
              <w:rPr>
                <w:rFonts w:eastAsia="MS PGothic"/>
              </w:rPr>
              <w:t>)4</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0.487(6)</w:t>
            </w:r>
          </w:p>
        </w:tc>
        <w:tc>
          <w:tcPr>
            <w:tcW w:w="1512" w:type="dxa"/>
            <w:hideMark/>
          </w:tcPr>
          <w:p w:rsidR="00DE4E93" w:rsidRPr="00427529" w:rsidRDefault="00DE4E93" w:rsidP="005C1918">
            <w:pPr>
              <w:spacing w:line="240" w:lineRule="auto"/>
              <w:contextualSpacing/>
              <w:jc w:val="center"/>
            </w:pPr>
            <w:r w:rsidRPr="00427529">
              <w:t>0.003(1)</w:t>
            </w:r>
          </w:p>
        </w:tc>
        <w:tc>
          <w:tcPr>
            <w:tcW w:w="1512" w:type="dxa"/>
            <w:hideMark/>
          </w:tcPr>
          <w:p w:rsidR="00DE4E93" w:rsidRPr="00427529" w:rsidRDefault="00DE4E93" w:rsidP="005C1918">
            <w:pPr>
              <w:spacing w:line="240" w:lineRule="auto"/>
              <w:contextualSpacing/>
              <w:jc w:val="center"/>
            </w:pPr>
            <w:r w:rsidRPr="00427529">
              <w:t>0.6399(2)</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0.16(4)</w:t>
            </w:r>
          </w:p>
        </w:tc>
      </w:tr>
      <w:tr w:rsidR="00DE4E93" w:rsidRPr="00427529" w:rsidTr="00DE4E93">
        <w:trPr>
          <w:trHeight w:val="416"/>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O1</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0.269(3)</w:t>
            </w:r>
          </w:p>
        </w:tc>
        <w:tc>
          <w:tcPr>
            <w:tcW w:w="1512" w:type="dxa"/>
            <w:hideMark/>
          </w:tcPr>
          <w:p w:rsidR="00DE4E93" w:rsidRPr="00427529" w:rsidRDefault="00DE4E93" w:rsidP="005C1918">
            <w:pPr>
              <w:spacing w:line="240" w:lineRule="auto"/>
              <w:contextualSpacing/>
              <w:jc w:val="center"/>
            </w:pPr>
            <w:r w:rsidRPr="00427529">
              <w:t>0.269(3)</w:t>
            </w:r>
          </w:p>
        </w:tc>
        <w:tc>
          <w:tcPr>
            <w:tcW w:w="1512" w:type="dxa"/>
            <w:hideMark/>
          </w:tcPr>
          <w:p w:rsidR="00DE4E93" w:rsidRPr="00427529" w:rsidRDefault="00DE4E93" w:rsidP="005C1918">
            <w:pPr>
              <w:spacing w:line="240" w:lineRule="auto"/>
              <w:contextualSpacing/>
              <w:jc w:val="center"/>
            </w:pPr>
            <w:r w:rsidRPr="00427529">
              <w:t>0.4925(6)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522"/>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O2</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0.284(2)</w:t>
            </w:r>
          </w:p>
        </w:tc>
        <w:tc>
          <w:tcPr>
            <w:tcW w:w="1512" w:type="dxa"/>
            <w:hideMark/>
          </w:tcPr>
          <w:p w:rsidR="00DE4E93" w:rsidRPr="00427529" w:rsidRDefault="00DE4E93" w:rsidP="005C1918">
            <w:pPr>
              <w:spacing w:line="240" w:lineRule="auto"/>
              <w:contextualSpacing/>
              <w:jc w:val="center"/>
            </w:pPr>
            <w:r w:rsidRPr="00427529">
              <w:t>0.216(2)</w:t>
            </w:r>
          </w:p>
        </w:tc>
        <w:tc>
          <w:tcPr>
            <w:tcW w:w="1512" w:type="dxa"/>
            <w:hideMark/>
          </w:tcPr>
          <w:p w:rsidR="00DE4E93" w:rsidRPr="00427529" w:rsidRDefault="00DE4E93" w:rsidP="005C1918">
            <w:pPr>
              <w:spacing w:line="240" w:lineRule="auto"/>
              <w:contextualSpacing/>
              <w:jc w:val="center"/>
            </w:pPr>
            <w:r w:rsidRPr="00427529">
              <w:t>0.9979(8)</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416"/>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O3</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sym w:font="Symbol" w:char="F02D"/>
            </w:r>
            <w:r w:rsidRPr="00427529">
              <w:t>0.000(6)</w:t>
            </w:r>
          </w:p>
        </w:tc>
        <w:tc>
          <w:tcPr>
            <w:tcW w:w="1512" w:type="dxa"/>
            <w:hideMark/>
          </w:tcPr>
          <w:p w:rsidR="00DE4E93" w:rsidRPr="00427529" w:rsidRDefault="00DE4E93" w:rsidP="005C1918">
            <w:pPr>
              <w:spacing w:line="240" w:lineRule="auto"/>
              <w:contextualSpacing/>
              <w:jc w:val="center"/>
            </w:pPr>
            <w:r w:rsidRPr="00427529">
              <w:t>0.032(5)</w:t>
            </w:r>
          </w:p>
        </w:tc>
        <w:tc>
          <w:tcPr>
            <w:tcW w:w="1512" w:type="dxa"/>
            <w:hideMark/>
          </w:tcPr>
          <w:p w:rsidR="00DE4E93" w:rsidRPr="00427529" w:rsidRDefault="00DE4E93" w:rsidP="005C1918">
            <w:pPr>
              <w:spacing w:line="240" w:lineRule="auto"/>
              <w:contextualSpacing/>
              <w:jc w:val="center"/>
            </w:pPr>
            <w:r w:rsidRPr="00427529">
              <w:t>0.0703(1)</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507"/>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O4</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0.490(6)</w:t>
            </w:r>
          </w:p>
        </w:tc>
        <w:tc>
          <w:tcPr>
            <w:tcW w:w="1512" w:type="dxa"/>
            <w:hideMark/>
          </w:tcPr>
          <w:p w:rsidR="00DE4E93" w:rsidRPr="00427529" w:rsidRDefault="00DE4E93" w:rsidP="005C1918">
            <w:pPr>
              <w:spacing w:line="240" w:lineRule="auto"/>
              <w:contextualSpacing/>
              <w:jc w:val="center"/>
            </w:pPr>
            <w:r w:rsidRPr="00427529">
              <w:t>0.048(4)</w:t>
            </w:r>
          </w:p>
        </w:tc>
        <w:tc>
          <w:tcPr>
            <w:tcW w:w="1512" w:type="dxa"/>
            <w:hideMark/>
          </w:tcPr>
          <w:p w:rsidR="00DE4E93" w:rsidRPr="00427529" w:rsidRDefault="00DE4E93" w:rsidP="005C1918">
            <w:pPr>
              <w:spacing w:line="240" w:lineRule="auto"/>
              <w:contextualSpacing/>
              <w:jc w:val="center"/>
            </w:pPr>
            <w:r w:rsidRPr="00427529">
              <w:t>0.5698(2)</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415"/>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O5</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0.242(5)</w:t>
            </w:r>
          </w:p>
        </w:tc>
        <w:tc>
          <w:tcPr>
            <w:tcW w:w="1512" w:type="dxa"/>
            <w:hideMark/>
          </w:tcPr>
          <w:p w:rsidR="00DE4E93" w:rsidRPr="00427529" w:rsidRDefault="00DE4E93" w:rsidP="005C1918">
            <w:pPr>
              <w:spacing w:line="240" w:lineRule="auto"/>
              <w:contextualSpacing/>
              <w:jc w:val="center"/>
            </w:pPr>
            <w:r w:rsidRPr="00427529">
              <w:t>0.252(6)</w:t>
            </w:r>
          </w:p>
        </w:tc>
        <w:tc>
          <w:tcPr>
            <w:tcW w:w="1512" w:type="dxa"/>
            <w:hideMark/>
          </w:tcPr>
          <w:p w:rsidR="00DE4E93" w:rsidRPr="00427529" w:rsidRDefault="00DE4E93" w:rsidP="005C1918">
            <w:pPr>
              <w:spacing w:line="240" w:lineRule="auto"/>
              <w:contextualSpacing/>
              <w:jc w:val="center"/>
            </w:pPr>
            <w:r w:rsidRPr="00427529">
              <w:t>0.1449(6)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522"/>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O6</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0.738(5)</w:t>
            </w:r>
          </w:p>
        </w:tc>
        <w:tc>
          <w:tcPr>
            <w:tcW w:w="1512" w:type="dxa"/>
            <w:hideMark/>
          </w:tcPr>
          <w:p w:rsidR="00DE4E93" w:rsidRPr="00427529" w:rsidRDefault="00DE4E93" w:rsidP="005C1918">
            <w:pPr>
              <w:spacing w:line="240" w:lineRule="auto"/>
              <w:contextualSpacing/>
              <w:jc w:val="center"/>
            </w:pPr>
            <w:r w:rsidRPr="00427529">
              <w:t>0.250(6)</w:t>
            </w:r>
          </w:p>
        </w:tc>
        <w:tc>
          <w:tcPr>
            <w:tcW w:w="1512" w:type="dxa"/>
            <w:hideMark/>
          </w:tcPr>
          <w:p w:rsidR="00DE4E93" w:rsidRPr="00427529" w:rsidRDefault="00DE4E93" w:rsidP="005C1918">
            <w:pPr>
              <w:spacing w:line="240" w:lineRule="auto"/>
              <w:contextualSpacing/>
              <w:jc w:val="center"/>
            </w:pPr>
            <w:r w:rsidRPr="00427529">
              <w:t>0.6501(6)</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430"/>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O7</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sym w:font="Symbol" w:char="F02D"/>
            </w:r>
            <w:r w:rsidRPr="00427529">
              <w:t>0.003(7)</w:t>
            </w:r>
          </w:p>
        </w:tc>
        <w:tc>
          <w:tcPr>
            <w:tcW w:w="1512" w:type="dxa"/>
            <w:hideMark/>
          </w:tcPr>
          <w:p w:rsidR="00DE4E93" w:rsidRPr="00427529" w:rsidRDefault="00DE4E93" w:rsidP="005C1918">
            <w:pPr>
              <w:spacing w:line="240" w:lineRule="auto"/>
              <w:contextualSpacing/>
              <w:jc w:val="center"/>
            </w:pPr>
            <w:r w:rsidRPr="00427529">
              <w:t>0.966(5)</w:t>
            </w:r>
          </w:p>
        </w:tc>
        <w:tc>
          <w:tcPr>
            <w:tcW w:w="1512" w:type="dxa"/>
            <w:hideMark/>
          </w:tcPr>
          <w:p w:rsidR="00DE4E93" w:rsidRPr="00427529" w:rsidRDefault="00DE4E93" w:rsidP="005C1918">
            <w:pPr>
              <w:spacing w:line="240" w:lineRule="auto"/>
              <w:contextualSpacing/>
              <w:jc w:val="center"/>
            </w:pPr>
            <w:r w:rsidRPr="00427529">
              <w:t>0.2113(3)</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522"/>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O8</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0.487(6)</w:t>
            </w:r>
          </w:p>
        </w:tc>
        <w:tc>
          <w:tcPr>
            <w:tcW w:w="1512" w:type="dxa"/>
            <w:hideMark/>
          </w:tcPr>
          <w:p w:rsidR="00DE4E93" w:rsidRPr="00427529" w:rsidRDefault="00DE4E93" w:rsidP="005C1918">
            <w:pPr>
              <w:spacing w:line="240" w:lineRule="auto"/>
              <w:contextualSpacing/>
              <w:jc w:val="center"/>
            </w:pPr>
            <w:r w:rsidRPr="00427529">
              <w:t>0.977(6)</w:t>
            </w:r>
          </w:p>
        </w:tc>
        <w:tc>
          <w:tcPr>
            <w:tcW w:w="1512" w:type="dxa"/>
            <w:hideMark/>
          </w:tcPr>
          <w:p w:rsidR="00DE4E93" w:rsidRPr="00427529" w:rsidRDefault="00DE4E93" w:rsidP="005C1918">
            <w:pPr>
              <w:spacing w:line="240" w:lineRule="auto"/>
              <w:contextualSpacing/>
              <w:jc w:val="center"/>
            </w:pPr>
            <w:r w:rsidRPr="00427529">
              <w:t>0.7107(3)</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430"/>
          <w:jc w:val="center"/>
        </w:trPr>
        <w:tc>
          <w:tcPr>
            <w:tcW w:w="1512"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O9</w:t>
            </w:r>
          </w:p>
        </w:tc>
        <w:tc>
          <w:tcPr>
            <w:tcW w:w="1512" w:type="dxa"/>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hideMark/>
          </w:tcPr>
          <w:p w:rsidR="00DE4E93" w:rsidRPr="00427529" w:rsidRDefault="00DE4E93" w:rsidP="005C1918">
            <w:pPr>
              <w:spacing w:line="240" w:lineRule="auto"/>
              <w:contextualSpacing/>
              <w:jc w:val="center"/>
            </w:pPr>
            <w:r w:rsidRPr="00427529">
              <w:t>0.753(5)</w:t>
            </w:r>
          </w:p>
        </w:tc>
        <w:tc>
          <w:tcPr>
            <w:tcW w:w="1512" w:type="dxa"/>
            <w:hideMark/>
          </w:tcPr>
          <w:p w:rsidR="00DE4E93" w:rsidRPr="00427529" w:rsidRDefault="00DE4E93" w:rsidP="005C1918">
            <w:pPr>
              <w:spacing w:line="240" w:lineRule="auto"/>
              <w:contextualSpacing/>
              <w:jc w:val="center"/>
            </w:pPr>
            <w:r w:rsidRPr="00427529">
              <w:t>0.247(6)</w:t>
            </w:r>
          </w:p>
        </w:tc>
        <w:tc>
          <w:tcPr>
            <w:tcW w:w="1512" w:type="dxa"/>
            <w:hideMark/>
          </w:tcPr>
          <w:p w:rsidR="00DE4E93" w:rsidRPr="00427529" w:rsidRDefault="00DE4E93" w:rsidP="005C1918">
            <w:pPr>
              <w:spacing w:line="240" w:lineRule="auto"/>
              <w:contextualSpacing/>
              <w:jc w:val="center"/>
            </w:pPr>
            <w:r w:rsidRPr="00427529">
              <w:t>0.8701(5)</w:t>
            </w:r>
          </w:p>
        </w:tc>
        <w:tc>
          <w:tcPr>
            <w:tcW w:w="1513" w:type="dxa"/>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r w:rsidR="00DE4E93" w:rsidRPr="00427529" w:rsidTr="00DE4E93">
        <w:trPr>
          <w:trHeight w:val="394"/>
          <w:jc w:val="center"/>
        </w:trPr>
        <w:tc>
          <w:tcPr>
            <w:tcW w:w="1512" w:type="dxa"/>
            <w:tcBorders>
              <w:bottom w:val="single" w:sz="4" w:space="0" w:color="auto"/>
            </w:tcBorders>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O10</w:t>
            </w:r>
          </w:p>
        </w:tc>
        <w:tc>
          <w:tcPr>
            <w:tcW w:w="1512" w:type="dxa"/>
            <w:tcBorders>
              <w:bottom w:val="single" w:sz="4" w:space="0" w:color="auto"/>
            </w:tcBorders>
            <w:hideMark/>
          </w:tcPr>
          <w:p w:rsidR="00DE4E93" w:rsidRPr="00427529" w:rsidRDefault="00DE4E93" w:rsidP="005C1918">
            <w:pPr>
              <w:widowControl w:val="0"/>
              <w:suppressAutoHyphens/>
              <w:snapToGrid w:val="0"/>
              <w:spacing w:line="240" w:lineRule="auto"/>
              <w:contextualSpacing/>
              <w:jc w:val="center"/>
              <w:rPr>
                <w:i/>
                <w:kern w:val="2"/>
                <w:lang w:eastAsia="ar-SA"/>
              </w:rPr>
            </w:pPr>
            <w:r w:rsidRPr="00427529">
              <w:t>4</w:t>
            </w:r>
            <w:r w:rsidRPr="00427529">
              <w:rPr>
                <w:i/>
              </w:rPr>
              <w:t>e</w:t>
            </w:r>
          </w:p>
        </w:tc>
        <w:tc>
          <w:tcPr>
            <w:tcW w:w="1512" w:type="dxa"/>
            <w:tcBorders>
              <w:bottom w:val="single" w:sz="4" w:space="0" w:color="auto"/>
            </w:tcBorders>
            <w:hideMark/>
          </w:tcPr>
          <w:p w:rsidR="00DE4E93" w:rsidRPr="00427529" w:rsidRDefault="00DE4E93" w:rsidP="005C1918">
            <w:pPr>
              <w:spacing w:line="240" w:lineRule="auto"/>
              <w:contextualSpacing/>
              <w:jc w:val="center"/>
            </w:pPr>
            <w:r w:rsidRPr="00427529">
              <w:t>0.260(5)</w:t>
            </w:r>
          </w:p>
        </w:tc>
        <w:tc>
          <w:tcPr>
            <w:tcW w:w="1512" w:type="dxa"/>
            <w:tcBorders>
              <w:bottom w:val="single" w:sz="4" w:space="0" w:color="auto"/>
            </w:tcBorders>
            <w:hideMark/>
          </w:tcPr>
          <w:p w:rsidR="00DE4E93" w:rsidRPr="00427529" w:rsidRDefault="00DE4E93" w:rsidP="005C1918">
            <w:pPr>
              <w:spacing w:line="240" w:lineRule="auto"/>
              <w:contextualSpacing/>
              <w:jc w:val="center"/>
            </w:pPr>
            <w:r w:rsidRPr="00427529">
              <w:t>0.247(5)</w:t>
            </w:r>
          </w:p>
        </w:tc>
        <w:tc>
          <w:tcPr>
            <w:tcW w:w="1512" w:type="dxa"/>
            <w:tcBorders>
              <w:bottom w:val="single" w:sz="4" w:space="0" w:color="auto"/>
            </w:tcBorders>
            <w:hideMark/>
          </w:tcPr>
          <w:p w:rsidR="00DE4E93" w:rsidRPr="00427529" w:rsidRDefault="00DE4E93" w:rsidP="005C1918">
            <w:pPr>
              <w:spacing w:line="240" w:lineRule="auto"/>
              <w:contextualSpacing/>
              <w:jc w:val="center"/>
            </w:pPr>
            <w:r w:rsidRPr="00427529">
              <w:t>0.3620(6)</w:t>
            </w:r>
          </w:p>
        </w:tc>
        <w:tc>
          <w:tcPr>
            <w:tcW w:w="1513" w:type="dxa"/>
            <w:tcBorders>
              <w:bottom w:val="single" w:sz="4" w:space="0" w:color="auto"/>
            </w:tcBorders>
            <w:hideMark/>
          </w:tcPr>
          <w:p w:rsidR="00DE4E93" w:rsidRPr="00427529" w:rsidRDefault="00DE4E93" w:rsidP="005C1918">
            <w:pPr>
              <w:suppressAutoHyphens/>
              <w:snapToGrid w:val="0"/>
              <w:spacing w:line="240" w:lineRule="auto"/>
              <w:contextualSpacing/>
              <w:jc w:val="center"/>
              <w:rPr>
                <w:rFonts w:eastAsia="MS PGothic"/>
                <w:kern w:val="2"/>
                <w:lang w:eastAsia="ar-SA"/>
              </w:rPr>
            </w:pPr>
            <w:r w:rsidRPr="00427529">
              <w:rPr>
                <w:rFonts w:eastAsia="MS PGothic"/>
              </w:rPr>
              <w:t>1.11(8)</w:t>
            </w:r>
          </w:p>
        </w:tc>
      </w:tr>
    </w:tbl>
    <w:p w:rsidR="00DE4E93" w:rsidRPr="00DE4E93" w:rsidRDefault="00DE4E93" w:rsidP="00DE4E93"/>
    <w:p w:rsidR="00553723" w:rsidRPr="00427529" w:rsidRDefault="00553723" w:rsidP="0086575E"/>
    <w:p w:rsidR="0086575E" w:rsidRDefault="0086575E" w:rsidP="0086575E">
      <w:pPr>
        <w:jc w:val="both"/>
      </w:pPr>
      <w:r w:rsidRPr="00427529">
        <w:t xml:space="preserve">These results prove unequivocally that there are no series of different types of structural distortions </w:t>
      </w:r>
      <w:r w:rsidR="00427529" w:rsidRPr="00427529">
        <w:t>throughout</w:t>
      </w:r>
      <w:r w:rsidRPr="00427529">
        <w:t xml:space="preserve"> the solid solution regime. Hence, La</w:t>
      </w:r>
      <w:r w:rsidRPr="00427529">
        <w:rPr>
          <w:vertAlign w:val="subscript"/>
        </w:rPr>
        <w:t>4</w:t>
      </w:r>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crystallizes in </w:t>
      </w:r>
      <w:r w:rsidRPr="00427529">
        <w:rPr>
          <w:i/>
        </w:rPr>
        <w:t>P2</w:t>
      </w:r>
      <w:r w:rsidRPr="00427529">
        <w:rPr>
          <w:i/>
          <w:vertAlign w:val="subscript"/>
        </w:rPr>
        <w:t>1</w:t>
      </w:r>
      <w:r w:rsidRPr="00427529">
        <w:rPr>
          <w:i/>
        </w:rPr>
        <w:t>/a</w:t>
      </w:r>
      <w:r w:rsidRPr="00427529">
        <w:t xml:space="preserve"> for all values of </w:t>
      </w:r>
      <w:r w:rsidRPr="00427529">
        <w:rPr>
          <w:i/>
        </w:rPr>
        <w:t>x</w:t>
      </w:r>
      <w:r w:rsidRPr="00427529">
        <w:t xml:space="preserve">, in contrast to the report by </w:t>
      </w:r>
      <w:proofErr w:type="spellStart"/>
      <w:r w:rsidRPr="00427529">
        <w:t>Amow</w:t>
      </w:r>
      <w:proofErr w:type="spellEnd"/>
      <w:r w:rsidRPr="00427529">
        <w:t xml:space="preserve"> </w:t>
      </w:r>
      <w:r w:rsidRPr="00427529">
        <w:rPr>
          <w:i/>
        </w:rPr>
        <w:t>et al.</w:t>
      </w:r>
      <w:r w:rsidRPr="008D16EE">
        <w:t>[</w:t>
      </w:r>
      <w:r w:rsidRPr="00427529">
        <w:t xml:space="preserve">1] The RP3 crystal structure is shown in Figure 3, emphasizing the triple </w:t>
      </w:r>
      <w:proofErr w:type="spellStart"/>
      <w:r w:rsidRPr="00427529">
        <w:t>perovskite</w:t>
      </w:r>
      <w:proofErr w:type="spellEnd"/>
      <w:r w:rsidRPr="00427529">
        <w:t xml:space="preserve"> slabs for </w:t>
      </w:r>
      <w:r w:rsidRPr="00427529">
        <w:rPr>
          <w:i/>
        </w:rPr>
        <w:t>x</w:t>
      </w:r>
      <w:r w:rsidRPr="00427529">
        <w:t xml:space="preserve"> = 0.00, 0.47 and 1.00. Their crystal structures are close to identical. The sole two </w:t>
      </w:r>
      <w:r w:rsidRPr="00427529">
        <w:lastRenderedPageBreak/>
        <w:t>significant variations concern the Co3/Ni3</w:t>
      </w:r>
      <w:r w:rsidRPr="00427529">
        <w:sym w:font="Symbol" w:char="F02D"/>
      </w:r>
      <w:r w:rsidRPr="00427529">
        <w:t>O7 and Co4/Ni4</w:t>
      </w:r>
      <w:r w:rsidRPr="00427529">
        <w:sym w:font="Symbol" w:char="F02D"/>
      </w:r>
      <w:r w:rsidRPr="00427529">
        <w:t>O8 bonds, increasing by 0.05 Å on going from the pure cobaltite (</w:t>
      </w:r>
      <w:r w:rsidRPr="00427529">
        <w:rPr>
          <w:i/>
        </w:rPr>
        <w:t>x</w:t>
      </w:r>
      <w:r w:rsidRPr="00427529">
        <w:t xml:space="preserve"> = 0; 1.97 Å) to the pure </w:t>
      </w:r>
      <w:proofErr w:type="spellStart"/>
      <w:r w:rsidRPr="00427529">
        <w:t>nickelate</w:t>
      </w:r>
      <w:proofErr w:type="spellEnd"/>
      <w:r w:rsidRPr="00427529">
        <w:t xml:space="preserve"> RP3 (</w:t>
      </w:r>
      <w:r w:rsidRPr="00427529">
        <w:rPr>
          <w:i/>
        </w:rPr>
        <w:t>x</w:t>
      </w:r>
      <w:r w:rsidRPr="00427529">
        <w:t xml:space="preserve"> = 1; 2.02 Å). </w:t>
      </w:r>
    </w:p>
    <w:p w:rsidR="00D115E6" w:rsidRPr="00427529" w:rsidRDefault="00D115E6" w:rsidP="00D115E6">
      <w:pPr>
        <w:jc w:val="center"/>
      </w:pPr>
      <w:r>
        <w:rPr>
          <w:b/>
          <w:i/>
          <w:noProof/>
          <w:lang w:val="en-US" w:eastAsia="zh-CN"/>
        </w:rPr>
        <w:drawing>
          <wp:inline distT="0" distB="0" distL="0" distR="0" wp14:anchorId="0325BCFB" wp14:editId="59CF897A">
            <wp:extent cx="2496710" cy="3104272"/>
            <wp:effectExtent l="0" t="0" r="0" b="1270"/>
            <wp:docPr id="5" name="Picture 5" descr="D:\LaNiCo-series\Extra files for paper one i poland\Structure figures with bond ind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NiCo-series\Extra files for paper one i poland\Structure figures with bond indications.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036" cy="3107164"/>
                    </a:xfrm>
                    <a:prstGeom prst="rect">
                      <a:avLst/>
                    </a:prstGeom>
                    <a:noFill/>
                    <a:ln>
                      <a:noFill/>
                    </a:ln>
                  </pic:spPr>
                </pic:pic>
              </a:graphicData>
            </a:graphic>
          </wp:inline>
        </w:drawing>
      </w:r>
    </w:p>
    <w:p w:rsidR="0086575E" w:rsidRPr="00427529" w:rsidRDefault="0086575E" w:rsidP="0086575E">
      <w:pPr>
        <w:pStyle w:val="Figurecaption"/>
      </w:pPr>
      <w:proofErr w:type="gramStart"/>
      <w:r w:rsidRPr="00427529">
        <w:rPr>
          <w:b/>
        </w:rPr>
        <w:t>Figure 3.</w:t>
      </w:r>
      <w:proofErr w:type="gramEnd"/>
      <w:r w:rsidRPr="00427529">
        <w:t xml:space="preserve"> RP3 crystal structure of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w:t>
      </w:r>
      <w:r w:rsidRPr="00427529">
        <w:rPr>
          <w:i/>
        </w:rPr>
        <w:t>x</w:t>
      </w:r>
      <w:r w:rsidRPr="00427529">
        <w:t xml:space="preserve"> = 0.00, 0.47 and 1.00.</w:t>
      </w:r>
    </w:p>
    <w:p w:rsidR="0086575E" w:rsidRPr="00427529" w:rsidRDefault="0086575E" w:rsidP="0086575E"/>
    <w:p w:rsidR="0086575E" w:rsidRPr="00427529" w:rsidRDefault="0086575E" w:rsidP="0086575E">
      <w:pPr>
        <w:pStyle w:val="Paragraph"/>
        <w:numPr>
          <w:ilvl w:val="1"/>
          <w:numId w:val="25"/>
        </w:numPr>
        <w:ind w:hanging="720"/>
      </w:pPr>
      <w:r w:rsidRPr="00427529">
        <w:rPr>
          <w:b/>
          <w:i/>
        </w:rPr>
        <w:t xml:space="preserve"> Oxygen non-stoichiometry</w:t>
      </w:r>
      <w:r w:rsidRPr="00427529">
        <w:t xml:space="preserve">. </w:t>
      </w:r>
    </w:p>
    <w:p w:rsidR="0086575E" w:rsidRPr="00427529" w:rsidRDefault="0086575E" w:rsidP="0086575E">
      <w:pPr>
        <w:jc w:val="both"/>
      </w:pPr>
      <w:r w:rsidRPr="00427529">
        <w:t>RP-phases may intercalate anions (oxygen) in tetrahedral interstices of their rock salt type layers. The actual concentration of intercalated atoms is strongly system dependent.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oxygen rich compositions up to </w:t>
      </w:r>
      <w:r w:rsidRPr="00427529">
        <w:rPr>
          <w:rFonts w:ascii="Symbol" w:hAnsi="Symbol"/>
          <w:i/>
        </w:rPr>
        <w:t></w:t>
      </w:r>
      <w:r w:rsidRPr="00427529">
        <w:rPr>
          <w:rFonts w:ascii="Symbol" w:hAnsi="Symbol"/>
        </w:rPr>
        <w:t></w:t>
      </w:r>
      <w:r w:rsidRPr="00427529">
        <w:rPr>
          <w:rFonts w:ascii="Symbol" w:hAnsi="Symbol"/>
        </w:rPr>
        <w:t></w:t>
      </w:r>
      <w:r w:rsidRPr="00427529">
        <w:t xml:space="preserve">≈ 0.30 are reported.[3] For the currently as-synthesized </w:t>
      </w:r>
      <w:r w:rsidRPr="00427529">
        <w:rPr>
          <w:i/>
        </w:rPr>
        <w:t>x</w:t>
      </w:r>
      <w:r w:rsidRPr="00427529">
        <w:t xml:space="preserve"> = 0.00, 0.20, 0.47, 0.80, 0.93, and 1.00 samples (see experimental), </w:t>
      </w:r>
      <w:proofErr w:type="spellStart"/>
      <w:r w:rsidRPr="00427529">
        <w:t>cerimetric</w:t>
      </w:r>
      <w:proofErr w:type="spellEnd"/>
      <w:r w:rsidRPr="00427529">
        <w:t xml:space="preserve"> titration gives an oxygen content very close to the ideal stoichiometry,</w:t>
      </w:r>
      <w:r w:rsidRPr="00427529">
        <w:rPr>
          <w:i/>
        </w:rPr>
        <w:t xml:space="preserve"> i.e.</w:t>
      </w:r>
      <w:r w:rsidRPr="00427529">
        <w:t xml:space="preserve"> </w:t>
      </w:r>
      <w:r w:rsidRPr="00D465DC">
        <w:rPr>
          <w:rFonts w:ascii="Symbol" w:hAnsi="Symbol"/>
          <w:i/>
        </w:rPr>
        <w:t></w:t>
      </w:r>
      <w:r w:rsidRPr="00427529">
        <w:t xml:space="preserve"> = 0.00 (standard deviations for 3 </w:t>
      </w:r>
      <w:r w:rsidRPr="00427529">
        <w:sym w:font="Symbol" w:char="F02D"/>
      </w:r>
      <w:r w:rsidRPr="00427529">
        <w:t xml:space="preserve"> 5 parallels are ± 0.02). Within the uncertainty of the method, the oxygen content is therefore considered as 10.00 for all composition </w:t>
      </w:r>
      <w:r w:rsidRPr="00427529">
        <w:rPr>
          <w:i/>
        </w:rPr>
        <w:t>x</w:t>
      </w:r>
      <w:r w:rsidRPr="00427529">
        <w:t xml:space="preserve">, </w:t>
      </w:r>
      <w:r w:rsidRPr="00427529">
        <w:rPr>
          <w:i/>
        </w:rPr>
        <w:t>i.e</w:t>
      </w:r>
      <w:r w:rsidRPr="00427529">
        <w:t>. no oxygen vacancies n</w:t>
      </w:r>
      <w:r w:rsidR="002B088D" w:rsidRPr="00427529">
        <w:t>or interstitials</w:t>
      </w:r>
      <w:r w:rsidRPr="00427529">
        <w:t xml:space="preserve"> present.</w:t>
      </w:r>
    </w:p>
    <w:p w:rsidR="0086575E" w:rsidRDefault="0086575E" w:rsidP="0086575E">
      <w:pPr>
        <w:jc w:val="both"/>
      </w:pPr>
      <w:r w:rsidRPr="00427529">
        <w:lastRenderedPageBreak/>
        <w:t>Excess oxygen in the RS-layer leads to increased formal oxidation states for the Co/Ni-atoms. This may affect magnetic and electric properties. This is currently conveniently illustrated for an anticipated spin-transition in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rFonts w:ascii="Symbol" w:hAnsi="Symbol"/>
          <w:i/>
          <w:vertAlign w:val="subscript"/>
        </w:rPr>
        <w:t></w:t>
      </w:r>
      <w:r w:rsidRPr="00427529">
        <w:t xml:space="preserve"> which is easily observed by DSC</w:t>
      </w:r>
      <w:proofErr w:type="gramStart"/>
      <w:r w:rsidRPr="00427529">
        <w:t>.[</w:t>
      </w:r>
      <w:proofErr w:type="gramEnd"/>
      <w:r w:rsidRPr="00427529">
        <w:t>3] The strong endothermic effect for La</w:t>
      </w:r>
      <w:r w:rsidRPr="00427529">
        <w:rPr>
          <w:vertAlign w:val="subscript"/>
        </w:rPr>
        <w:t>4</w:t>
      </w:r>
      <w:r w:rsidRPr="00427529">
        <w:t>Co</w:t>
      </w:r>
      <w:r w:rsidRPr="00427529">
        <w:rPr>
          <w:vertAlign w:val="subscript"/>
        </w:rPr>
        <w:t>3</w:t>
      </w:r>
      <w:r w:rsidRPr="00427529">
        <w:t>O</w:t>
      </w:r>
      <w:r w:rsidRPr="00427529">
        <w:rPr>
          <w:vertAlign w:val="subscript"/>
        </w:rPr>
        <w:t>10.00</w:t>
      </w:r>
      <w:r w:rsidRPr="00427529">
        <w:t xml:space="preserve"> seen at around 200 °C, Figure 4, decreases rapidly upon increased oxygen content </w:t>
      </w:r>
      <w:r w:rsidRPr="00427529">
        <w:rPr>
          <w:rFonts w:ascii="Symbol" w:hAnsi="Symbol"/>
          <w:i/>
        </w:rPr>
        <w:sym w:font="Symbol" w:char="F064"/>
      </w:r>
      <w:r w:rsidRPr="00427529">
        <w:rPr>
          <w:rFonts w:ascii="Symbol" w:hAnsi="Symbol"/>
        </w:rPr>
        <w:t></w:t>
      </w:r>
      <w:r w:rsidRPr="00427529">
        <w:t>. For La</w:t>
      </w:r>
      <w:r w:rsidRPr="00427529">
        <w:rPr>
          <w:vertAlign w:val="subscript"/>
        </w:rPr>
        <w:t>4</w:t>
      </w:r>
      <w:r w:rsidRPr="00427529">
        <w:t>Co</w:t>
      </w:r>
      <w:r w:rsidRPr="00427529">
        <w:rPr>
          <w:vertAlign w:val="subscript"/>
        </w:rPr>
        <w:t>3</w:t>
      </w:r>
      <w:r w:rsidRPr="00427529">
        <w:t>O</w:t>
      </w:r>
      <w:r w:rsidRPr="00427529">
        <w:rPr>
          <w:vertAlign w:val="subscript"/>
        </w:rPr>
        <w:t>10.20</w:t>
      </w:r>
      <w:r w:rsidRPr="00427529">
        <w:t xml:space="preserve"> no anomaly is any longer observed.</w:t>
      </w:r>
      <w:r w:rsidRPr="00427529">
        <w:rPr>
          <w:noProof/>
        </w:rPr>
        <w:t xml:space="preserve"> </w:t>
      </w:r>
      <w:r w:rsidRPr="00427529">
        <w:t xml:space="preserve">The phenomenon has vanished for </w:t>
      </w:r>
      <w:proofErr w:type="gramStart"/>
      <w:r w:rsidRPr="00427529">
        <w:t>La</w:t>
      </w:r>
      <w:r w:rsidRPr="00427529">
        <w:rPr>
          <w:vertAlign w:val="subscript"/>
        </w:rPr>
        <w:t>4</w:t>
      </w:r>
      <w:r w:rsidRPr="00427529">
        <w:t>(</w:t>
      </w:r>
      <w:proofErr w:type="gramEnd"/>
      <w:r w:rsidRPr="00427529">
        <w:t>Co</w:t>
      </w:r>
      <w:r w:rsidRPr="00427529">
        <w:rPr>
          <w:vertAlign w:val="subscript"/>
        </w:rPr>
        <w:t>0.97</w:t>
      </w:r>
      <w:r w:rsidRPr="00427529">
        <w:t>Ni</w:t>
      </w:r>
      <w:r w:rsidRPr="00427529">
        <w:rPr>
          <w:vertAlign w:val="subscript"/>
        </w:rPr>
        <w:t>0.03</w:t>
      </w:r>
      <w:r w:rsidRPr="00427529">
        <w:t>)</w:t>
      </w:r>
      <w:r w:rsidRPr="00427529">
        <w:rPr>
          <w:vertAlign w:val="subscript"/>
        </w:rPr>
        <w:t>3</w:t>
      </w:r>
      <w:r w:rsidRPr="00427529">
        <w:t>O</w:t>
      </w:r>
      <w:r w:rsidRPr="00427529">
        <w:rPr>
          <w:vertAlign w:val="subscript"/>
        </w:rPr>
        <w:t>10.00</w:t>
      </w:r>
      <w:r w:rsidRPr="00427529">
        <w:t>, see insert to Figure 4.</w:t>
      </w:r>
    </w:p>
    <w:p w:rsidR="00D115E6" w:rsidRPr="00427529" w:rsidRDefault="00D115E6" w:rsidP="00D115E6">
      <w:pPr>
        <w:jc w:val="center"/>
      </w:pPr>
      <w:r>
        <w:rPr>
          <w:b/>
          <w:i/>
          <w:noProof/>
          <w:lang w:val="en-US" w:eastAsia="zh-CN"/>
        </w:rPr>
        <w:drawing>
          <wp:inline distT="0" distB="0" distL="0" distR="0" wp14:anchorId="408885E2" wp14:editId="508510E2">
            <wp:extent cx="3037794" cy="23895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3987" cy="2394388"/>
                    </a:xfrm>
                    <a:prstGeom prst="rect">
                      <a:avLst/>
                    </a:prstGeom>
                    <a:noFill/>
                    <a:ln>
                      <a:noFill/>
                    </a:ln>
                  </pic:spPr>
                </pic:pic>
              </a:graphicData>
            </a:graphic>
          </wp:inline>
        </w:drawing>
      </w:r>
    </w:p>
    <w:p w:rsidR="0086575E" w:rsidRPr="00427529" w:rsidRDefault="0086575E" w:rsidP="0086575E">
      <w:pPr>
        <w:pStyle w:val="Figurecaption"/>
      </w:pPr>
      <w:proofErr w:type="gramStart"/>
      <w:r w:rsidRPr="00427529">
        <w:rPr>
          <w:b/>
        </w:rPr>
        <w:t>Figure 4.</w:t>
      </w:r>
      <w:proofErr w:type="gramEnd"/>
      <w:r w:rsidRPr="00427529">
        <w:rPr>
          <w:b/>
        </w:rPr>
        <w:t xml:space="preserve"> </w:t>
      </w:r>
      <w:r w:rsidRPr="00427529">
        <w:t>DSC signals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rPr>
          <w:i/>
          <w:vertAlign w:val="subscript"/>
        </w:rPr>
        <w:t>δ</w:t>
      </w:r>
      <w:r w:rsidRPr="00427529">
        <w:t xml:space="preserve"> measured on heating in flowing N</w:t>
      </w:r>
      <w:r w:rsidRPr="00427529">
        <w:rPr>
          <w:vertAlign w:val="subscript"/>
        </w:rPr>
        <w:t>2</w:t>
      </w:r>
      <w:r w:rsidRPr="00427529">
        <w:t xml:space="preserve"> for different values of oxygen non-stoichiometry (</w:t>
      </w:r>
      <w:r w:rsidRPr="00427529">
        <w:rPr>
          <w:i/>
        </w:rPr>
        <w:t>δ</w:t>
      </w:r>
      <w:r w:rsidR="0043102F" w:rsidRPr="00427529">
        <w:t xml:space="preserve"> </w:t>
      </w:r>
      <w:r w:rsidRPr="00427529">
        <w:t xml:space="preserve">= 0.00, 0.03, 0.12, 0.20). Insert shows corresponding DSC data for </w:t>
      </w:r>
      <w:proofErr w:type="gramStart"/>
      <w:r w:rsidRPr="00427529">
        <w:t>La</w:t>
      </w:r>
      <w:r w:rsidRPr="00427529">
        <w:rPr>
          <w:vertAlign w:val="subscript"/>
        </w:rPr>
        <w:t>4</w:t>
      </w:r>
      <w:r w:rsidRPr="00427529">
        <w:t>(</w:t>
      </w:r>
      <w:proofErr w:type="gramEnd"/>
      <w:r w:rsidRPr="00427529">
        <w:t>Co</w:t>
      </w:r>
      <w:r w:rsidRPr="00427529">
        <w:rPr>
          <w:vertAlign w:val="subscript"/>
        </w:rPr>
        <w:t>0.97</w:t>
      </w:r>
      <w:r w:rsidRPr="00427529">
        <w:t>Ni</w:t>
      </w:r>
      <w:r w:rsidRPr="00427529">
        <w:rPr>
          <w:vertAlign w:val="subscript"/>
        </w:rPr>
        <w:t>0.03</w:t>
      </w:r>
      <w:r w:rsidRPr="00427529">
        <w:t>)</w:t>
      </w:r>
      <w:r w:rsidRPr="00427529">
        <w:rPr>
          <w:vertAlign w:val="subscript"/>
        </w:rPr>
        <w:t>3</w:t>
      </w:r>
      <w:r w:rsidRPr="00427529">
        <w:t>O</w:t>
      </w:r>
      <w:r w:rsidRPr="00427529">
        <w:rPr>
          <w:vertAlign w:val="subscript"/>
        </w:rPr>
        <w:t>10.00</w:t>
      </w:r>
      <w:r w:rsidRPr="00427529">
        <w:t>.</w:t>
      </w:r>
    </w:p>
    <w:p w:rsidR="0086575E" w:rsidRPr="00427529" w:rsidRDefault="0086575E" w:rsidP="0086575E"/>
    <w:p w:rsidR="0086575E" w:rsidRPr="00427529" w:rsidRDefault="0086575E" w:rsidP="00F145D6">
      <w:pPr>
        <w:jc w:val="both"/>
      </w:pPr>
      <w:r w:rsidRPr="00427529">
        <w:t xml:space="preserve">This endothermic anomaly correlates with temperature induced changes in the magnetic susceptibility and with anomalous thermal </w:t>
      </w:r>
      <w:proofErr w:type="spellStart"/>
      <w:r w:rsidRPr="00427529">
        <w:t>expansivity</w:t>
      </w:r>
      <w:proofErr w:type="spellEnd"/>
      <w:r w:rsidRPr="00427529">
        <w:t xml:space="preserve">. These observations are indicative of a spin transition for the Co(III) </w:t>
      </w:r>
      <w:proofErr w:type="spellStart"/>
      <w:r w:rsidRPr="00427529">
        <w:t>cations</w:t>
      </w:r>
      <w:proofErr w:type="spellEnd"/>
      <w:r w:rsidRPr="00427529">
        <w:t>, from a lower- to a higher- spin state.[3] The current data suggests, however, a more complex explanation. For La</w:t>
      </w:r>
      <w:r w:rsidRPr="00427529">
        <w:rPr>
          <w:vertAlign w:val="subscript"/>
        </w:rPr>
        <w:t>4</w:t>
      </w:r>
      <w:r w:rsidRPr="00427529">
        <w:t>Co</w:t>
      </w:r>
      <w:r w:rsidRPr="00427529">
        <w:rPr>
          <w:vertAlign w:val="subscript"/>
        </w:rPr>
        <w:t>3</w:t>
      </w:r>
      <w:r w:rsidRPr="00427529">
        <w:t>O</w:t>
      </w:r>
      <w:r w:rsidRPr="00427529">
        <w:rPr>
          <w:vertAlign w:val="subscript"/>
        </w:rPr>
        <w:t>10.00</w:t>
      </w:r>
      <w:r w:rsidRPr="00427529">
        <w:t xml:space="preserve"> the average Co-oxidation state is +2.67, and strong signatures of the transition are observed, but for La</w:t>
      </w:r>
      <w:r w:rsidRPr="00427529">
        <w:rPr>
          <w:vertAlign w:val="subscript"/>
        </w:rPr>
        <w:t>4</w:t>
      </w:r>
      <w:r w:rsidRPr="00427529">
        <w:t>Co</w:t>
      </w:r>
      <w:r w:rsidRPr="00427529">
        <w:rPr>
          <w:vertAlign w:val="subscript"/>
        </w:rPr>
        <w:t>3</w:t>
      </w:r>
      <w:r w:rsidRPr="00427529">
        <w:t>O</w:t>
      </w:r>
      <w:r w:rsidRPr="00427529">
        <w:rPr>
          <w:vertAlign w:val="subscript"/>
        </w:rPr>
        <w:t>10.20</w:t>
      </w:r>
      <w:r w:rsidRPr="00427529">
        <w:t xml:space="preserve">, with average Co-oxidation state +2.80 [formally 2.4 </w:t>
      </w:r>
      <w:proofErr w:type="gramStart"/>
      <w:r w:rsidRPr="00427529">
        <w:t>Co(</w:t>
      </w:r>
      <w:proofErr w:type="gramEnd"/>
      <w:r w:rsidRPr="00427529">
        <w:t xml:space="preserve">III) and 0.6 Co(II)], the endothermic signal is hardly visible. If the </w:t>
      </w:r>
      <w:r w:rsidRPr="00427529">
        <w:lastRenderedPageBreak/>
        <w:t xml:space="preserve">transition were due to just </w:t>
      </w:r>
      <w:proofErr w:type="gramStart"/>
      <w:r w:rsidRPr="00427529">
        <w:t>Co(</w:t>
      </w:r>
      <w:proofErr w:type="gramEnd"/>
      <w:r w:rsidRPr="00427529">
        <w:t>III), one would rather expect stronger signatures for higher Co(III) contents. In the related LaCoO</w:t>
      </w:r>
      <w:r w:rsidRPr="00427529">
        <w:rPr>
          <w:vertAlign w:val="subscript"/>
        </w:rPr>
        <w:t>3</w:t>
      </w:r>
      <w:r w:rsidRPr="00427529">
        <w:t xml:space="preserve"> </w:t>
      </w:r>
      <w:proofErr w:type="spellStart"/>
      <w:r w:rsidRPr="00427529">
        <w:t>perovskite</w:t>
      </w:r>
      <w:proofErr w:type="spellEnd"/>
      <w:r w:rsidRPr="00427529">
        <w:t xml:space="preserve">, a corresponding spin-transition is manifested in terms of anomalies in susceptibility and </w:t>
      </w:r>
      <w:proofErr w:type="spellStart"/>
      <w:r w:rsidRPr="00427529">
        <w:t>expansivity</w:t>
      </w:r>
      <w:proofErr w:type="spellEnd"/>
      <w:proofErr w:type="gramStart"/>
      <w:r w:rsidRPr="00427529">
        <w:t>,[</w:t>
      </w:r>
      <w:proofErr w:type="gramEnd"/>
      <w:r w:rsidR="005D57ED" w:rsidRPr="00427529">
        <w:t>1</w:t>
      </w:r>
      <w:r w:rsidR="00557B04">
        <w:t>3</w:t>
      </w:r>
      <w:r w:rsidR="005D57ED" w:rsidRPr="00427529">
        <w:t>, 1</w:t>
      </w:r>
      <w:r w:rsidR="00557B04">
        <w:t>4</w:t>
      </w:r>
      <w:r w:rsidR="005D57ED" w:rsidRPr="00427529">
        <w:t>, 1</w:t>
      </w:r>
      <w:r w:rsidR="00557B04">
        <w:t>5</w:t>
      </w:r>
      <w:r w:rsidR="005D57ED" w:rsidRPr="00427529">
        <w:t xml:space="preserve">] </w:t>
      </w:r>
      <w:r w:rsidR="00720B83" w:rsidRPr="00427529">
        <w:t>and</w:t>
      </w:r>
      <w:r w:rsidRPr="00427529">
        <w:t xml:space="preserve"> ascribed to spin changes of Co(III) atoms.</w:t>
      </w:r>
    </w:p>
    <w:p w:rsidR="0086575E" w:rsidRDefault="0086575E" w:rsidP="0086575E">
      <w:pPr>
        <w:pStyle w:val="Paragraph"/>
        <w:numPr>
          <w:ilvl w:val="1"/>
          <w:numId w:val="25"/>
        </w:numPr>
        <w:ind w:hanging="720"/>
        <w:rPr>
          <w:b/>
          <w:i/>
        </w:rPr>
      </w:pPr>
      <w:r w:rsidRPr="00427529">
        <w:rPr>
          <w:b/>
          <w:i/>
        </w:rPr>
        <w:t>Magnetic properties at low temperatures</w:t>
      </w:r>
    </w:p>
    <w:p w:rsidR="00D115E6" w:rsidRPr="00D115E6" w:rsidRDefault="00D115E6" w:rsidP="00D115E6">
      <w:pPr>
        <w:pStyle w:val="Authornames"/>
      </w:pPr>
      <w:r>
        <w:rPr>
          <w:noProof/>
          <w:lang w:val="en-US" w:eastAsia="zh-CN"/>
        </w:rPr>
        <w:drawing>
          <wp:inline distT="0" distB="0" distL="0" distR="0" wp14:anchorId="770D1E34" wp14:editId="4D4CA1F5">
            <wp:extent cx="5396865" cy="205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tif"/>
                    <pic:cNvPicPr/>
                  </pic:nvPicPr>
                  <pic:blipFill>
                    <a:blip r:embed="rId12">
                      <a:extLst>
                        <a:ext uri="{28A0092B-C50C-407E-A947-70E740481C1C}">
                          <a14:useLocalDpi xmlns:a14="http://schemas.microsoft.com/office/drawing/2010/main" val="0"/>
                        </a:ext>
                      </a:extLst>
                    </a:blip>
                    <a:stretch>
                      <a:fillRect/>
                    </a:stretch>
                  </pic:blipFill>
                  <pic:spPr>
                    <a:xfrm>
                      <a:off x="0" y="0"/>
                      <a:ext cx="5396865" cy="2054860"/>
                    </a:xfrm>
                    <a:prstGeom prst="rect">
                      <a:avLst/>
                    </a:prstGeom>
                  </pic:spPr>
                </pic:pic>
              </a:graphicData>
            </a:graphic>
          </wp:inline>
        </w:drawing>
      </w:r>
    </w:p>
    <w:p w:rsidR="00FD425D" w:rsidRPr="00427529" w:rsidRDefault="00FD425D" w:rsidP="00BA235A">
      <w:pPr>
        <w:pStyle w:val="Figurecaption"/>
      </w:pPr>
      <w:proofErr w:type="gramStart"/>
      <w:r w:rsidRPr="00427529">
        <w:rPr>
          <w:b/>
        </w:rPr>
        <w:t xml:space="preserve">Figure </w:t>
      </w:r>
      <w:r w:rsidR="00BA235A">
        <w:rPr>
          <w:b/>
        </w:rPr>
        <w:t>5</w:t>
      </w:r>
      <w:r w:rsidRPr="00427529">
        <w:rPr>
          <w:b/>
        </w:rPr>
        <w:t>.</w:t>
      </w:r>
      <w:proofErr w:type="gramEnd"/>
      <w:r w:rsidRPr="00427529">
        <w:t xml:space="preserve"> </w:t>
      </w:r>
      <w:r w:rsidR="00807094">
        <w:t xml:space="preserve">(a) </w:t>
      </w:r>
      <w:r w:rsidR="00457C4F" w:rsidRPr="00427529">
        <w:t>Magnetic susceptibility (</w:t>
      </w:r>
      <w:proofErr w:type="spellStart"/>
      <w:proofErr w:type="gramStart"/>
      <w:r w:rsidR="00457C4F" w:rsidRPr="00427529">
        <w:t>χ</w:t>
      </w:r>
      <w:r w:rsidR="00457C4F" w:rsidRPr="00B30F27">
        <w:rPr>
          <w:vertAlign w:val="subscript"/>
        </w:rPr>
        <w:t>m</w:t>
      </w:r>
      <w:proofErr w:type="spellEnd"/>
      <w:r w:rsidRPr="00427529">
        <w:t>(</w:t>
      </w:r>
      <w:proofErr w:type="gramEnd"/>
      <w:r w:rsidRPr="00427529">
        <w:t>T)</w:t>
      </w:r>
      <w:r w:rsidR="00457C4F" w:rsidRPr="00427529">
        <w:t>)</w:t>
      </w:r>
      <w:r w:rsidRPr="00427529">
        <w:t xml:space="preserve"> curves of fine and coarse powder as well as uncrushed, sintered La</w:t>
      </w:r>
      <w:r w:rsidRPr="00B30F27">
        <w:rPr>
          <w:vertAlign w:val="subscript"/>
        </w:rPr>
        <w:t>4</w:t>
      </w:r>
      <w:r w:rsidRPr="00427529">
        <w:t>Co</w:t>
      </w:r>
      <w:r w:rsidRPr="00B30F27">
        <w:rPr>
          <w:vertAlign w:val="subscript"/>
        </w:rPr>
        <w:t>3</w:t>
      </w:r>
      <w:r w:rsidRPr="00427529">
        <w:t>O</w:t>
      </w:r>
      <w:r w:rsidRPr="00B30F27">
        <w:rPr>
          <w:vertAlign w:val="subscript"/>
        </w:rPr>
        <w:t>10</w:t>
      </w:r>
      <w:r w:rsidRPr="00427529">
        <w:t xml:space="preserve">. </w:t>
      </w:r>
      <w:r w:rsidR="00807094">
        <w:t xml:space="preserve">(b) </w:t>
      </w:r>
      <w:proofErr w:type="gramStart"/>
      <w:r w:rsidRPr="00427529">
        <w:t>M(</w:t>
      </w:r>
      <w:proofErr w:type="gramEnd"/>
      <w:r w:rsidRPr="00427529">
        <w:t xml:space="preserve">H) curve of the same samples at 4 K. </w:t>
      </w:r>
    </w:p>
    <w:p w:rsidR="00457C4F" w:rsidRPr="00427529" w:rsidRDefault="00457C4F" w:rsidP="00BA235A"/>
    <w:p w:rsidR="00EE5692" w:rsidRPr="00427529" w:rsidRDefault="0086575E" w:rsidP="005D57ED">
      <w:pPr>
        <w:spacing w:after="100"/>
        <w:jc w:val="both"/>
      </w:pPr>
      <w:r w:rsidRPr="00427529">
        <w:t xml:space="preserve">ZFC/FC </w:t>
      </w:r>
      <w:proofErr w:type="gramStart"/>
      <w:r w:rsidR="00E03A78" w:rsidRPr="00427529">
        <w:rPr>
          <w:i/>
        </w:rPr>
        <w:t>M(</w:t>
      </w:r>
      <w:proofErr w:type="gramEnd"/>
      <w:r w:rsidR="00E03A78" w:rsidRPr="00427529">
        <w:rPr>
          <w:i/>
        </w:rPr>
        <w:t>T)</w:t>
      </w:r>
      <w:r w:rsidR="00E03A78" w:rsidRPr="00427529">
        <w:t xml:space="preserve"> </w:t>
      </w:r>
      <w:r w:rsidRPr="00427529">
        <w:t xml:space="preserve">and </w:t>
      </w:r>
      <w:r w:rsidR="00E03A78" w:rsidRPr="00427529">
        <w:rPr>
          <w:i/>
        </w:rPr>
        <w:t>M(H)</w:t>
      </w:r>
      <w:r w:rsidRPr="00427529">
        <w:t xml:space="preserve"> data for La</w:t>
      </w:r>
      <w:r w:rsidRPr="00427529">
        <w:rPr>
          <w:vertAlign w:val="subscript"/>
        </w:rPr>
        <w:t>4</w:t>
      </w:r>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reveal complex behaviours.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t xml:space="preserve"> the magnetic susceptibility at ZFC and FC conditions show Curie</w:t>
      </w:r>
      <w:r w:rsidR="005D57ED" w:rsidRPr="00427529">
        <w:t xml:space="preserve"> − </w:t>
      </w:r>
      <w:r w:rsidRPr="00427529">
        <w:t xml:space="preserve">Weiss </w:t>
      </w:r>
      <w:r w:rsidR="005D57ED" w:rsidRPr="00427529">
        <w:t xml:space="preserve">(CW) </w:t>
      </w:r>
      <w:r w:rsidRPr="00427529">
        <w:t>paramagnetic behaviour in two temperature ranges; 80</w:t>
      </w:r>
      <w:r w:rsidR="005D57ED" w:rsidRPr="00427529">
        <w:t xml:space="preserve"> K</w:t>
      </w:r>
      <w:r w:rsidRPr="00427529">
        <w:t xml:space="preserve"> </w:t>
      </w:r>
      <w:r w:rsidRPr="00427529">
        <w:sym w:font="Symbol" w:char="F02D"/>
      </w:r>
      <w:r w:rsidRPr="00427529">
        <w:t xml:space="preserve"> 300 K (</w:t>
      </w:r>
      <w:r w:rsidRPr="00427529">
        <w:rPr>
          <w:rFonts w:ascii="Symbol" w:hAnsi="Symbol"/>
        </w:rPr>
        <w:t></w:t>
      </w:r>
      <w:r w:rsidRPr="00427529">
        <w:rPr>
          <w:vertAlign w:val="subscript"/>
        </w:rPr>
        <w:t>eff</w:t>
      </w:r>
      <w:r w:rsidRPr="00427529">
        <w:t xml:space="preserve"> = 4.69 </w:t>
      </w:r>
      <w:r w:rsidRPr="00427529">
        <w:rPr>
          <w:rFonts w:ascii="Symbol" w:hAnsi="Symbol"/>
        </w:rPr>
        <w:t></w:t>
      </w:r>
      <w:r w:rsidRPr="00427529">
        <w:rPr>
          <w:vertAlign w:val="subscript"/>
        </w:rPr>
        <w:t>B</w:t>
      </w:r>
      <w:r w:rsidRPr="00427529">
        <w:t xml:space="preserve">, </w:t>
      </w:r>
      <w:r w:rsidRPr="00427529">
        <w:rPr>
          <w:rFonts w:ascii="Symbol" w:hAnsi="Symbol"/>
          <w:i/>
        </w:rPr>
        <w:sym w:font="Symbol" w:char="F071"/>
      </w:r>
      <w:r w:rsidRPr="00427529">
        <w:t xml:space="preserve"> = </w:t>
      </w:r>
      <w:r w:rsidR="00671140" w:rsidRPr="00427529">
        <w:sym w:font="Symbol" w:char="F02D"/>
      </w:r>
      <w:r w:rsidR="000E64B2">
        <w:t>3.9</w:t>
      </w:r>
      <w:r w:rsidR="0041037A">
        <w:t xml:space="preserve"> </w:t>
      </w:r>
      <w:r w:rsidRPr="00427529">
        <w:t>K), and 20</w:t>
      </w:r>
      <w:r w:rsidR="005D57ED" w:rsidRPr="00427529">
        <w:t xml:space="preserve"> K</w:t>
      </w:r>
      <w:r w:rsidRPr="00427529">
        <w:t xml:space="preserve"> – 80 K (</w:t>
      </w:r>
      <w:r w:rsidRPr="00427529">
        <w:rPr>
          <w:rFonts w:ascii="Symbol" w:hAnsi="Symbol"/>
        </w:rPr>
        <w:t></w:t>
      </w:r>
      <w:r w:rsidRPr="00427529">
        <w:rPr>
          <w:vertAlign w:val="subscript"/>
        </w:rPr>
        <w:t>eff</w:t>
      </w:r>
      <w:r w:rsidRPr="00427529">
        <w:t xml:space="preserve"> = 4.42 </w:t>
      </w:r>
      <w:r w:rsidRPr="00427529">
        <w:rPr>
          <w:rFonts w:ascii="Symbol" w:hAnsi="Symbol"/>
        </w:rPr>
        <w:t></w:t>
      </w:r>
      <w:r w:rsidRPr="00427529">
        <w:rPr>
          <w:vertAlign w:val="subscript"/>
        </w:rPr>
        <w:t>B</w:t>
      </w:r>
      <w:r w:rsidRPr="00427529">
        <w:t xml:space="preserve">, </w:t>
      </w:r>
      <w:r w:rsidRPr="00427529">
        <w:rPr>
          <w:rFonts w:ascii="Symbol" w:hAnsi="Symbol"/>
          <w:i/>
        </w:rPr>
        <w:sym w:font="Symbol" w:char="F071"/>
      </w:r>
      <w:r w:rsidRPr="00427529">
        <w:t xml:space="preserve"> = 1.9</w:t>
      </w:r>
      <w:r w:rsidR="0041037A">
        <w:t xml:space="preserve"> </w:t>
      </w:r>
      <w:r w:rsidRPr="00427529">
        <w:t xml:space="preserve">K), similar to observations by </w:t>
      </w:r>
      <w:proofErr w:type="spellStart"/>
      <w:r w:rsidRPr="00427529">
        <w:t>Hansteen</w:t>
      </w:r>
      <w:proofErr w:type="spellEnd"/>
      <w:r w:rsidRPr="00427529">
        <w:t xml:space="preserve"> </w:t>
      </w:r>
      <w:r w:rsidRPr="00427529">
        <w:rPr>
          <w:i/>
        </w:rPr>
        <w:t>et al</w:t>
      </w:r>
      <w:proofErr w:type="gramStart"/>
      <w:r w:rsidRPr="00427529">
        <w:rPr>
          <w:i/>
        </w:rPr>
        <w:t>.</w:t>
      </w:r>
      <w:r w:rsidRPr="00427529">
        <w:t>[</w:t>
      </w:r>
      <w:proofErr w:type="gramEnd"/>
      <w:r w:rsidRPr="00427529">
        <w:t xml:space="preserve">3] A bifurcation of the ZFC/FC curves is observed at </w:t>
      </w:r>
      <w:r w:rsidRPr="00427529">
        <w:sym w:font="Symbol" w:char="F07E"/>
      </w:r>
      <w:r w:rsidRPr="00427529">
        <w:t xml:space="preserve"> 80 K. This bifurcation shows a weak upward trend for FC conditions relative to ZFC for 10 – 80 K in an applied field of </w:t>
      </w:r>
      <w:r w:rsidRPr="00427529">
        <w:rPr>
          <w:i/>
        </w:rPr>
        <w:t>H</w:t>
      </w:r>
      <w:r w:rsidRPr="00427529">
        <w:t xml:space="preserve"> = 500 G and suggests a weak ferromagnetic state. In some respect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t xml:space="preserve"> thereby mimics LaCoO</w:t>
      </w:r>
      <w:r w:rsidRPr="00427529">
        <w:rPr>
          <w:vertAlign w:val="subscript"/>
        </w:rPr>
        <w:t>3</w:t>
      </w:r>
      <w:r w:rsidRPr="00427529">
        <w:t xml:space="preserve"> for which Durand </w:t>
      </w:r>
      <w:r w:rsidRPr="00427529">
        <w:rPr>
          <w:i/>
        </w:rPr>
        <w:t>et al.</w:t>
      </w:r>
      <w:r w:rsidRPr="00427529">
        <w:t xml:space="preserve"> discussed a weak ferromagnetic effect at low temperature, possibly caused by lattice strain due to traces of a cobalt oxide phase similar to situations encountered for thin-films and </w:t>
      </w:r>
      <w:r w:rsidRPr="00427529">
        <w:lastRenderedPageBreak/>
        <w:t>nanoparticles.[1</w:t>
      </w:r>
      <w:r w:rsidR="00D63940">
        <w:t>6</w:t>
      </w:r>
      <w:r w:rsidRPr="00427529">
        <w:t xml:space="preserve">] Recently, Yan </w:t>
      </w:r>
      <w:r w:rsidRPr="00427529">
        <w:rPr>
          <w:i/>
        </w:rPr>
        <w:t>et al.</w:t>
      </w:r>
      <w:r w:rsidRPr="00427529">
        <w:t xml:space="preserve"> explained the field dependent properties of LaCoO</w:t>
      </w:r>
      <w:r w:rsidRPr="00427529">
        <w:rPr>
          <w:vertAlign w:val="subscript"/>
        </w:rPr>
        <w:t>3</w:t>
      </w:r>
      <w:r w:rsidRPr="00427529">
        <w:t xml:space="preserve"> by surface magnetism caused by perturbed Co(III) coordination at the surface </w:t>
      </w:r>
      <w:r w:rsidR="005D57ED" w:rsidRPr="00427529">
        <w:t>of finely crushed oxide particles.[1</w:t>
      </w:r>
      <w:r w:rsidR="005501A3">
        <w:t>7</w:t>
      </w:r>
      <w:r w:rsidR="005D57ED" w:rsidRPr="00427529">
        <w:t xml:space="preserve">] Key evidence was provided by </w:t>
      </w:r>
      <w:r w:rsidR="00720B83" w:rsidRPr="00427529">
        <w:t xml:space="preserve">Yan </w:t>
      </w:r>
      <w:r w:rsidR="00720B83" w:rsidRPr="00427529">
        <w:rPr>
          <w:i/>
        </w:rPr>
        <w:t>et al.</w:t>
      </w:r>
      <w:r w:rsidR="00720B83" w:rsidRPr="00427529">
        <w:t xml:space="preserve"> through </w:t>
      </w:r>
      <w:r w:rsidR="005D57ED" w:rsidRPr="00427529">
        <w:t xml:space="preserve">comparative </w:t>
      </w:r>
      <w:r w:rsidRPr="00427529">
        <w:t xml:space="preserve">studies between small and large particles. The ferromagnetic contribution vanished for large particles, assumingly owing to a low amount of </w:t>
      </w:r>
      <w:proofErr w:type="gramStart"/>
      <w:r w:rsidRPr="00427529">
        <w:t>Co(</w:t>
      </w:r>
      <w:proofErr w:type="gramEnd"/>
      <w:r w:rsidRPr="00427529">
        <w:t xml:space="preserve">III) surface </w:t>
      </w:r>
      <w:proofErr w:type="spellStart"/>
      <w:r w:rsidRPr="00427529">
        <w:t>cations</w:t>
      </w:r>
      <w:proofErr w:type="spellEnd"/>
      <w:r w:rsidRPr="00427529">
        <w:t xml:space="preserve"> in the bulk samples. A parallel </w:t>
      </w:r>
      <w:r w:rsidR="005D57ED" w:rsidRPr="00427529">
        <w:t>experiment</w:t>
      </w:r>
      <w:r w:rsidRPr="00427529">
        <w:t xml:space="preserve"> of finely crushed powder and coarse particles (~</w:t>
      </w:r>
      <w:r w:rsidR="006F079C">
        <w:t>100</w:t>
      </w:r>
      <w:r w:rsidRPr="00427529">
        <w:t xml:space="preserve"> </w:t>
      </w:r>
      <w:r w:rsidRPr="00807094">
        <w:rPr>
          <w:rFonts w:ascii="Symbol" w:hAnsi="Symbol"/>
        </w:rPr>
        <w:t></w:t>
      </w:r>
      <w:r w:rsidRPr="00427529">
        <w:t>m) of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t xml:space="preserve"> as well as of large sintered specimens showed a quite similar situation</w:t>
      </w:r>
      <w:r w:rsidR="00FD425D" w:rsidRPr="00427529">
        <w:t xml:space="preserve">, as shown in </w:t>
      </w:r>
      <w:r w:rsidR="00BA235A">
        <w:t>F</w:t>
      </w:r>
      <w:r w:rsidR="00FD425D" w:rsidRPr="00427529">
        <w:t xml:space="preserve">igure </w:t>
      </w:r>
      <w:r w:rsidR="00BA235A">
        <w:t>5</w:t>
      </w:r>
      <w:r w:rsidRPr="00427529">
        <w:t xml:space="preserve">. Hence, for the fine powders there are additional magnetic features below 80 K that are superimposed on the otherwise paramagnetic or antiferromagnetic bulk properties. On the other hand, the </w:t>
      </w:r>
      <w:proofErr w:type="gramStart"/>
      <w:r w:rsidRPr="00427529">
        <w:rPr>
          <w:i/>
        </w:rPr>
        <w:t>M(</w:t>
      </w:r>
      <w:proofErr w:type="gramEnd"/>
      <w:r w:rsidRPr="00427529">
        <w:rPr>
          <w:i/>
        </w:rPr>
        <w:t>H)</w:t>
      </w:r>
      <w:r w:rsidRPr="00427529">
        <w:t xml:space="preserve"> curves at </w:t>
      </w:r>
      <w:r w:rsidR="00BA235A">
        <w:t>4</w:t>
      </w:r>
      <w:r w:rsidRPr="00427529">
        <w:t xml:space="preserve"> K shows significant hysteresis, along with a large saturation magnetization. The latter field induced transition from an </w:t>
      </w:r>
      <w:proofErr w:type="spellStart"/>
      <w:r w:rsidRPr="00427529">
        <w:t>antiferro</w:t>
      </w:r>
      <w:proofErr w:type="spellEnd"/>
      <w:r w:rsidRPr="00427529">
        <w:t>- to a ferromagnetic state is an intrinsic bulk property of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t>, see also below.</w:t>
      </w:r>
      <w:r w:rsidR="00720B83" w:rsidRPr="00427529">
        <w:t xml:space="preserve"> In this respect La</w:t>
      </w:r>
      <w:r w:rsidR="00720B83" w:rsidRPr="00427529">
        <w:rPr>
          <w:vertAlign w:val="subscript"/>
        </w:rPr>
        <w:t>4</w:t>
      </w:r>
      <w:r w:rsidR="00720B83" w:rsidRPr="00427529">
        <w:t>Co</w:t>
      </w:r>
      <w:r w:rsidR="00720B83" w:rsidRPr="00427529">
        <w:rPr>
          <w:vertAlign w:val="subscript"/>
        </w:rPr>
        <w:t>3</w:t>
      </w:r>
      <w:r w:rsidR="00720B83" w:rsidRPr="00427529">
        <w:t>O</w:t>
      </w:r>
      <w:r w:rsidR="00720B83" w:rsidRPr="00427529">
        <w:rPr>
          <w:vertAlign w:val="subscript"/>
        </w:rPr>
        <w:t>10</w:t>
      </w:r>
      <w:r w:rsidR="00720B83" w:rsidRPr="00427529">
        <w:t xml:space="preserve"> differs dramatically</w:t>
      </w:r>
      <w:r w:rsidR="00295BEE" w:rsidRPr="00427529">
        <w:t xml:space="preserve"> </w:t>
      </w:r>
      <w:r w:rsidR="00720B83" w:rsidRPr="00427529">
        <w:t>from LaCoO</w:t>
      </w:r>
      <w:r w:rsidR="00720B83" w:rsidRPr="00427529">
        <w:rPr>
          <w:vertAlign w:val="subscript"/>
        </w:rPr>
        <w:t>3</w:t>
      </w:r>
      <w:r w:rsidR="00720B83" w:rsidRPr="00427529">
        <w:t>.</w:t>
      </w:r>
    </w:p>
    <w:p w:rsidR="00CE0D8D" w:rsidRDefault="00CE0D8D" w:rsidP="00CE0D8D">
      <w:pPr>
        <w:pStyle w:val="Figurecaption"/>
      </w:pPr>
      <w:proofErr w:type="gramStart"/>
      <w:r w:rsidRPr="00427529">
        <w:rPr>
          <w:b/>
        </w:rPr>
        <w:t>Table 2.</w:t>
      </w:r>
      <w:proofErr w:type="gramEnd"/>
      <w:r w:rsidRPr="00427529">
        <w:rPr>
          <w:b/>
        </w:rPr>
        <w:t xml:space="preserve"> </w:t>
      </w:r>
      <w:r w:rsidR="000038F3" w:rsidRPr="00427529">
        <w:t>Weiss Constant (</w:t>
      </w:r>
      <w:r w:rsidR="000038F3" w:rsidRPr="00427529">
        <w:rPr>
          <w:i/>
        </w:rPr>
        <w:t>θ</w:t>
      </w:r>
      <w:r w:rsidR="000038F3" w:rsidRPr="00427529">
        <w:t>), effective paramagnetic moment (</w:t>
      </w:r>
      <w:proofErr w:type="spellStart"/>
      <w:r w:rsidR="000038F3" w:rsidRPr="00427529">
        <w:t>μ</w:t>
      </w:r>
      <w:r w:rsidR="000038F3" w:rsidRPr="00427529">
        <w:rPr>
          <w:vertAlign w:val="subscript"/>
        </w:rPr>
        <w:t>eff</w:t>
      </w:r>
      <w:proofErr w:type="spellEnd"/>
      <w:r w:rsidR="000038F3" w:rsidRPr="00427529">
        <w:t>), and calculated spin-only magnetic moment</w:t>
      </w:r>
      <w:r w:rsidR="00263359">
        <w:t xml:space="preserve"> (µ</w:t>
      </w:r>
      <w:proofErr w:type="spellStart"/>
      <w:r w:rsidR="00263359" w:rsidRPr="00263359">
        <w:rPr>
          <w:vertAlign w:val="subscript"/>
        </w:rPr>
        <w:t>calc</w:t>
      </w:r>
      <w:proofErr w:type="spellEnd"/>
      <w:r w:rsidR="00263359">
        <w:t>)</w:t>
      </w:r>
      <w:r w:rsidR="000038F3" w:rsidRPr="00427529">
        <w:t xml:space="preserve"> as derived from</w:t>
      </w:r>
      <w:r w:rsidRPr="00427529">
        <w:t xml:space="preserve"> fit values of the Curie </w:t>
      </w:r>
      <w:r w:rsidR="005D57ED" w:rsidRPr="00427529">
        <w:t xml:space="preserve">− </w:t>
      </w:r>
      <w:r w:rsidRPr="00427529">
        <w:t xml:space="preserve">Weiss law for </w:t>
      </w:r>
      <w:r w:rsidR="000038F3" w:rsidRPr="00427529">
        <w:t xml:space="preserve">magnetic susceptibility data of  </w:t>
      </w:r>
      <w:r w:rsidRPr="00427529">
        <w:rPr>
          <w:i/>
        </w:rPr>
        <w:t>x</w:t>
      </w:r>
      <w:r w:rsidRPr="00427529">
        <w:t xml:space="preserve"> = </w:t>
      </w:r>
      <w:r w:rsidR="00480763">
        <w:t xml:space="preserve">0.00, 0.20, 0.25, 0.33, 0.50, 0.67, and </w:t>
      </w:r>
      <w:r w:rsidRPr="00427529">
        <w:t>0.72</w:t>
      </w:r>
      <w:r w:rsidR="00480763">
        <w:t xml:space="preserve"> </w:t>
      </w:r>
      <w:r w:rsidR="000038F3" w:rsidRPr="00427529">
        <w:t xml:space="preserve">in the </w:t>
      </w:r>
      <w:r w:rsidR="00295BEE" w:rsidRPr="00427529">
        <w:t>temperature</w:t>
      </w:r>
      <w:r w:rsidR="000038F3" w:rsidRPr="00427529">
        <w:t xml:space="preserve"> range 80</w:t>
      </w:r>
      <w:r w:rsidR="005D57ED" w:rsidRPr="00427529">
        <w:t xml:space="preserve"> K</w:t>
      </w:r>
      <w:r w:rsidR="000038F3" w:rsidRPr="00427529">
        <w:t xml:space="preserve"> – 300 K.</w:t>
      </w:r>
    </w:p>
    <w:tbl>
      <w:tblPr>
        <w:tblW w:w="4527" w:type="pct"/>
        <w:jc w:val="center"/>
        <w:tblLayout w:type="fixed"/>
        <w:tblCellMar>
          <w:left w:w="70" w:type="dxa"/>
          <w:right w:w="70" w:type="dxa"/>
        </w:tblCellMar>
        <w:tblLook w:val="04A0" w:firstRow="1" w:lastRow="0" w:firstColumn="1" w:lastColumn="0" w:noHBand="0" w:noVBand="1"/>
      </w:tblPr>
      <w:tblGrid>
        <w:gridCol w:w="1787"/>
        <w:gridCol w:w="2254"/>
        <w:gridCol w:w="799"/>
        <w:gridCol w:w="1424"/>
        <w:gridCol w:w="1558"/>
      </w:tblGrid>
      <w:tr w:rsidR="00EE5692" w:rsidRPr="00427529" w:rsidTr="00EE5692">
        <w:trPr>
          <w:trHeight w:val="276"/>
          <w:jc w:val="center"/>
        </w:trPr>
        <w:tc>
          <w:tcPr>
            <w:tcW w:w="1142" w:type="pct"/>
            <w:vMerge w:val="restart"/>
            <w:tcBorders>
              <w:top w:val="single" w:sz="4" w:space="0" w:color="auto"/>
              <w:bottom w:val="single" w:sz="4" w:space="0" w:color="auto"/>
            </w:tcBorders>
            <w:shd w:val="clear" w:color="auto" w:fill="auto"/>
            <w:noWrap/>
            <w:vAlign w:val="center"/>
            <w:hideMark/>
          </w:tcPr>
          <w:p w:rsidR="00EE5692" w:rsidRPr="00427529" w:rsidRDefault="00EE5692" w:rsidP="005C1918">
            <w:pPr>
              <w:spacing w:line="240" w:lineRule="auto"/>
              <w:jc w:val="center"/>
              <w:rPr>
                <w:b/>
                <w:bCs/>
                <w:color w:val="000000"/>
                <w:lang w:eastAsia="zh-CN"/>
              </w:rPr>
            </w:pPr>
            <w:r w:rsidRPr="00427529">
              <w:rPr>
                <w:b/>
                <w:bCs/>
                <w:i/>
                <w:color w:val="000000"/>
                <w:lang w:eastAsia="zh-CN"/>
              </w:rPr>
              <w:t>x</w:t>
            </w:r>
            <w:r w:rsidRPr="00427529">
              <w:rPr>
                <w:b/>
                <w:bCs/>
                <w:color w:val="000000"/>
                <w:lang w:eastAsia="zh-CN"/>
              </w:rPr>
              <w:t xml:space="preserve"> </w:t>
            </w:r>
          </w:p>
        </w:tc>
        <w:tc>
          <w:tcPr>
            <w:tcW w:w="1441" w:type="pct"/>
            <w:vMerge w:val="restart"/>
            <w:tcBorders>
              <w:top w:val="single" w:sz="4" w:space="0" w:color="auto"/>
              <w:bottom w:val="single" w:sz="4" w:space="0" w:color="auto"/>
            </w:tcBorders>
            <w:shd w:val="clear" w:color="auto" w:fill="auto"/>
            <w:noWrap/>
            <w:vAlign w:val="center"/>
            <w:hideMark/>
          </w:tcPr>
          <w:p w:rsidR="00EE5692" w:rsidRPr="000E64B2" w:rsidRDefault="00EE5692" w:rsidP="005C1918">
            <w:pPr>
              <w:spacing w:line="240" w:lineRule="auto"/>
              <w:jc w:val="center"/>
              <w:rPr>
                <w:b/>
                <w:bCs/>
                <w:color w:val="000000"/>
                <w:lang w:val="nn-NO" w:eastAsia="zh-CN"/>
              </w:rPr>
            </w:pPr>
            <w:r w:rsidRPr="000E64B2">
              <w:rPr>
                <w:b/>
                <w:bCs/>
                <w:color w:val="000000"/>
                <w:lang w:val="nn-NO" w:eastAsia="zh-CN"/>
              </w:rPr>
              <w:t xml:space="preserve">C </w:t>
            </w:r>
          </w:p>
          <w:p w:rsidR="00EE5692" w:rsidRPr="000E64B2" w:rsidRDefault="00EE5692" w:rsidP="005C1918">
            <w:pPr>
              <w:spacing w:line="240" w:lineRule="auto"/>
              <w:jc w:val="center"/>
              <w:rPr>
                <w:b/>
                <w:bCs/>
                <w:color w:val="000000"/>
                <w:lang w:val="nn-NO" w:eastAsia="zh-CN"/>
              </w:rPr>
            </w:pPr>
            <w:r w:rsidRPr="000E64B2">
              <w:rPr>
                <w:b/>
                <w:bCs/>
                <w:color w:val="000000"/>
                <w:lang w:val="nn-NO" w:eastAsia="zh-CN"/>
              </w:rPr>
              <w:t>(emu K Oe</w:t>
            </w:r>
            <w:r w:rsidRPr="00427529">
              <w:rPr>
                <w:vertAlign w:val="superscript"/>
              </w:rPr>
              <w:sym w:font="Symbol" w:char="F02D"/>
            </w:r>
            <w:r w:rsidRPr="000E64B2">
              <w:rPr>
                <w:vertAlign w:val="superscript"/>
                <w:lang w:val="nn-NO"/>
              </w:rPr>
              <w:t>1</w:t>
            </w:r>
            <w:r w:rsidRPr="000E64B2">
              <w:rPr>
                <w:b/>
                <w:bCs/>
                <w:color w:val="000000"/>
                <w:lang w:val="nn-NO" w:eastAsia="zh-CN"/>
              </w:rPr>
              <w:t xml:space="preserve"> mol</w:t>
            </w:r>
            <w:r w:rsidRPr="00427529">
              <w:rPr>
                <w:vertAlign w:val="superscript"/>
              </w:rPr>
              <w:sym w:font="Symbol" w:char="F02D"/>
            </w:r>
            <w:r w:rsidRPr="000E64B2">
              <w:rPr>
                <w:vertAlign w:val="superscript"/>
                <w:lang w:val="nn-NO"/>
              </w:rPr>
              <w:t>1</w:t>
            </w:r>
            <w:r w:rsidRPr="000E64B2">
              <w:rPr>
                <w:b/>
                <w:bCs/>
                <w:color w:val="000000"/>
                <w:lang w:val="nn-NO" w:eastAsia="zh-CN"/>
              </w:rPr>
              <w:t>) (±0.02)</w:t>
            </w:r>
          </w:p>
        </w:tc>
        <w:tc>
          <w:tcPr>
            <w:tcW w:w="511" w:type="pct"/>
            <w:vMerge w:val="restart"/>
            <w:tcBorders>
              <w:top w:val="single" w:sz="4" w:space="0" w:color="auto"/>
              <w:bottom w:val="single" w:sz="4" w:space="0" w:color="auto"/>
            </w:tcBorders>
            <w:shd w:val="clear" w:color="auto" w:fill="auto"/>
            <w:noWrap/>
            <w:vAlign w:val="center"/>
            <w:hideMark/>
          </w:tcPr>
          <w:p w:rsidR="00EE5692" w:rsidRPr="00427529" w:rsidRDefault="00EE5692" w:rsidP="005C1918">
            <w:pPr>
              <w:spacing w:line="240" w:lineRule="auto"/>
              <w:jc w:val="center"/>
              <w:rPr>
                <w:b/>
                <w:bCs/>
                <w:color w:val="000000"/>
                <w:lang w:eastAsia="zh-CN"/>
              </w:rPr>
            </w:pPr>
            <w:r w:rsidRPr="00427529">
              <w:rPr>
                <w:b/>
                <w:bCs/>
                <w:color w:val="000000"/>
                <w:lang w:eastAsia="zh-CN"/>
              </w:rPr>
              <w:t>θ (K)</w:t>
            </w:r>
          </w:p>
        </w:tc>
        <w:tc>
          <w:tcPr>
            <w:tcW w:w="910" w:type="pct"/>
            <w:vMerge w:val="restart"/>
            <w:tcBorders>
              <w:top w:val="single" w:sz="4" w:space="0" w:color="auto"/>
              <w:bottom w:val="single" w:sz="4" w:space="0" w:color="auto"/>
            </w:tcBorders>
            <w:shd w:val="clear" w:color="auto" w:fill="auto"/>
            <w:noWrap/>
            <w:vAlign w:val="center"/>
            <w:hideMark/>
          </w:tcPr>
          <w:p w:rsidR="00EE5692" w:rsidRPr="00427529" w:rsidRDefault="00EE5692" w:rsidP="005C1918">
            <w:pPr>
              <w:spacing w:line="240" w:lineRule="auto"/>
              <w:jc w:val="center"/>
              <w:rPr>
                <w:b/>
                <w:bCs/>
                <w:color w:val="000000"/>
                <w:lang w:eastAsia="zh-CN"/>
              </w:rPr>
            </w:pPr>
            <w:proofErr w:type="spellStart"/>
            <w:r w:rsidRPr="00427529">
              <w:rPr>
                <w:b/>
                <w:bCs/>
                <w:color w:val="000000"/>
                <w:lang w:eastAsia="zh-CN"/>
              </w:rPr>
              <w:t>μ</w:t>
            </w:r>
            <w:r w:rsidRPr="00427529">
              <w:rPr>
                <w:b/>
                <w:bCs/>
                <w:color w:val="000000"/>
                <w:vertAlign w:val="subscript"/>
                <w:lang w:eastAsia="zh-CN"/>
              </w:rPr>
              <w:t>eff</w:t>
            </w:r>
            <w:proofErr w:type="spellEnd"/>
            <w:r w:rsidRPr="00427529">
              <w:rPr>
                <w:b/>
                <w:bCs/>
                <w:color w:val="000000"/>
                <w:lang w:eastAsia="zh-CN"/>
              </w:rPr>
              <w:t xml:space="preserve"> (</w:t>
            </w:r>
            <w:proofErr w:type="spellStart"/>
            <w:r w:rsidRPr="00427529">
              <w:rPr>
                <w:b/>
                <w:bCs/>
                <w:color w:val="000000"/>
                <w:lang w:eastAsia="zh-CN"/>
              </w:rPr>
              <w:t>μ</w:t>
            </w:r>
            <w:r w:rsidRPr="00427529">
              <w:rPr>
                <w:b/>
                <w:bCs/>
                <w:color w:val="000000"/>
                <w:vertAlign w:val="subscript"/>
                <w:lang w:eastAsia="zh-CN"/>
              </w:rPr>
              <w:t>B</w:t>
            </w:r>
            <w:proofErr w:type="spellEnd"/>
            <w:r w:rsidRPr="00427529">
              <w:rPr>
                <w:b/>
                <w:bCs/>
                <w:color w:val="000000"/>
                <w:lang w:eastAsia="zh-CN"/>
              </w:rPr>
              <w:t>)</w:t>
            </w:r>
          </w:p>
          <w:p w:rsidR="00EE5692" w:rsidRPr="00427529" w:rsidRDefault="00EE5692" w:rsidP="005C1918">
            <w:pPr>
              <w:spacing w:line="240" w:lineRule="auto"/>
              <w:jc w:val="center"/>
              <w:rPr>
                <w:b/>
                <w:bCs/>
                <w:color w:val="000000"/>
                <w:lang w:eastAsia="zh-CN"/>
              </w:rPr>
            </w:pPr>
            <w:r w:rsidRPr="00427529">
              <w:rPr>
                <w:b/>
                <w:bCs/>
                <w:color w:val="000000"/>
                <w:lang w:eastAsia="zh-CN"/>
              </w:rPr>
              <w:t>(Co</w:t>
            </w:r>
            <w:r w:rsidRPr="00427529">
              <w:rPr>
                <w:b/>
                <w:bCs/>
                <w:color w:val="000000"/>
                <w:vertAlign w:val="subscript"/>
                <w:lang w:eastAsia="zh-CN"/>
              </w:rPr>
              <w:t>1</w:t>
            </w:r>
            <w:r w:rsidRPr="00427529">
              <w:rPr>
                <w:vertAlign w:val="subscript"/>
              </w:rPr>
              <w:sym w:font="Symbol" w:char="F02D"/>
            </w:r>
            <w:proofErr w:type="spellStart"/>
            <w:r w:rsidRPr="00427529">
              <w:rPr>
                <w:b/>
                <w:bCs/>
                <w:i/>
                <w:color w:val="000000"/>
                <w:vertAlign w:val="subscript"/>
                <w:lang w:eastAsia="zh-CN"/>
              </w:rPr>
              <w:t>x</w:t>
            </w:r>
            <w:r w:rsidRPr="00427529">
              <w:rPr>
                <w:b/>
                <w:bCs/>
                <w:color w:val="000000"/>
                <w:lang w:eastAsia="zh-CN"/>
              </w:rPr>
              <w:t>Ni</w:t>
            </w:r>
            <w:r w:rsidRPr="00427529">
              <w:rPr>
                <w:b/>
                <w:bCs/>
                <w:i/>
                <w:color w:val="000000"/>
                <w:vertAlign w:val="subscript"/>
                <w:lang w:eastAsia="zh-CN"/>
              </w:rPr>
              <w:t>x</w:t>
            </w:r>
            <w:proofErr w:type="spellEnd"/>
            <w:r w:rsidRPr="00427529">
              <w:rPr>
                <w:b/>
                <w:bCs/>
                <w:color w:val="000000"/>
                <w:lang w:eastAsia="zh-CN"/>
              </w:rPr>
              <w:t>)</w:t>
            </w:r>
            <w:r w:rsidRPr="00427529">
              <w:rPr>
                <w:b/>
                <w:bCs/>
                <w:color w:val="000000"/>
                <w:vertAlign w:val="subscript"/>
                <w:lang w:eastAsia="zh-CN"/>
              </w:rPr>
              <w:t>3</w:t>
            </w:r>
          </w:p>
        </w:tc>
        <w:tc>
          <w:tcPr>
            <w:tcW w:w="996" w:type="pct"/>
            <w:vMerge w:val="restart"/>
            <w:tcBorders>
              <w:top w:val="single" w:sz="4" w:space="0" w:color="auto"/>
              <w:bottom w:val="single" w:sz="4" w:space="0" w:color="auto"/>
            </w:tcBorders>
            <w:shd w:val="clear" w:color="auto" w:fill="auto"/>
            <w:vAlign w:val="center"/>
            <w:hideMark/>
          </w:tcPr>
          <w:p w:rsidR="00EE5692" w:rsidRPr="00427529" w:rsidRDefault="00EE5692" w:rsidP="005C1918">
            <w:pPr>
              <w:spacing w:line="240" w:lineRule="auto"/>
              <w:jc w:val="center"/>
              <w:rPr>
                <w:b/>
                <w:bCs/>
                <w:color w:val="000000"/>
                <w:lang w:eastAsia="zh-CN"/>
              </w:rPr>
            </w:pPr>
            <w:proofErr w:type="spellStart"/>
            <w:r>
              <w:rPr>
                <w:b/>
                <w:bCs/>
                <w:color w:val="000000"/>
                <w:lang w:eastAsia="zh-CN"/>
              </w:rPr>
              <w:t>μ</w:t>
            </w:r>
            <w:r w:rsidRPr="00427529">
              <w:rPr>
                <w:b/>
                <w:bCs/>
                <w:color w:val="000000"/>
                <w:vertAlign w:val="subscript"/>
                <w:lang w:eastAsia="zh-CN"/>
              </w:rPr>
              <w:t>calc</w:t>
            </w:r>
            <w:proofErr w:type="spellEnd"/>
            <w:r w:rsidRPr="00427529">
              <w:rPr>
                <w:b/>
                <w:bCs/>
                <w:color w:val="000000"/>
                <w:vertAlign w:val="subscript"/>
                <w:lang w:eastAsia="zh-CN"/>
              </w:rPr>
              <w:t xml:space="preserve"> </w:t>
            </w:r>
            <w:r w:rsidRPr="00427529">
              <w:rPr>
                <w:b/>
                <w:bCs/>
                <w:color w:val="000000"/>
                <w:lang w:eastAsia="zh-CN"/>
              </w:rPr>
              <w:t>(</w:t>
            </w:r>
            <w:proofErr w:type="spellStart"/>
            <w:r w:rsidRPr="00427529">
              <w:rPr>
                <w:b/>
                <w:bCs/>
                <w:color w:val="000000"/>
                <w:lang w:eastAsia="zh-CN"/>
              </w:rPr>
              <w:t>μ</w:t>
            </w:r>
            <w:r w:rsidRPr="00427529">
              <w:rPr>
                <w:b/>
                <w:bCs/>
                <w:color w:val="000000"/>
                <w:vertAlign w:val="subscript"/>
                <w:lang w:eastAsia="zh-CN"/>
              </w:rPr>
              <w:t>B</w:t>
            </w:r>
            <w:proofErr w:type="spellEnd"/>
            <w:r w:rsidRPr="00427529">
              <w:rPr>
                <w:b/>
                <w:bCs/>
                <w:color w:val="000000"/>
                <w:lang w:eastAsia="zh-CN"/>
              </w:rPr>
              <w:t>)</w:t>
            </w:r>
          </w:p>
          <w:p w:rsidR="00EE5692" w:rsidRPr="00427529" w:rsidRDefault="00EE5692" w:rsidP="005C1918">
            <w:pPr>
              <w:spacing w:line="240" w:lineRule="auto"/>
              <w:jc w:val="center"/>
              <w:rPr>
                <w:b/>
                <w:bCs/>
                <w:color w:val="000000"/>
                <w:lang w:eastAsia="zh-CN"/>
              </w:rPr>
            </w:pPr>
            <w:r w:rsidRPr="00427529">
              <w:rPr>
                <w:b/>
                <w:bCs/>
                <w:color w:val="000000"/>
                <w:lang w:eastAsia="zh-CN"/>
              </w:rPr>
              <w:t>(Co</w:t>
            </w:r>
            <w:r w:rsidRPr="00427529">
              <w:rPr>
                <w:b/>
                <w:bCs/>
                <w:color w:val="000000"/>
                <w:vertAlign w:val="subscript"/>
                <w:lang w:eastAsia="zh-CN"/>
              </w:rPr>
              <w:t>1</w:t>
            </w:r>
            <w:r w:rsidRPr="00427529">
              <w:rPr>
                <w:vertAlign w:val="subscript"/>
              </w:rPr>
              <w:sym w:font="Symbol" w:char="F02D"/>
            </w:r>
            <w:proofErr w:type="spellStart"/>
            <w:r w:rsidRPr="00427529">
              <w:rPr>
                <w:b/>
                <w:bCs/>
                <w:i/>
                <w:color w:val="000000"/>
                <w:vertAlign w:val="subscript"/>
                <w:lang w:eastAsia="zh-CN"/>
              </w:rPr>
              <w:t>x</w:t>
            </w:r>
            <w:r w:rsidRPr="00427529">
              <w:rPr>
                <w:b/>
                <w:bCs/>
                <w:color w:val="000000"/>
                <w:lang w:eastAsia="zh-CN"/>
              </w:rPr>
              <w:t>Ni</w:t>
            </w:r>
            <w:r w:rsidRPr="00427529">
              <w:rPr>
                <w:b/>
                <w:bCs/>
                <w:i/>
                <w:color w:val="000000"/>
                <w:vertAlign w:val="subscript"/>
                <w:lang w:eastAsia="zh-CN"/>
              </w:rPr>
              <w:t>x</w:t>
            </w:r>
            <w:proofErr w:type="spellEnd"/>
            <w:r w:rsidRPr="00427529">
              <w:rPr>
                <w:b/>
                <w:bCs/>
                <w:color w:val="000000"/>
                <w:lang w:eastAsia="zh-CN"/>
              </w:rPr>
              <w:t>)</w:t>
            </w:r>
            <w:r w:rsidRPr="00427529">
              <w:rPr>
                <w:b/>
                <w:bCs/>
                <w:color w:val="000000"/>
                <w:vertAlign w:val="subscript"/>
                <w:lang w:eastAsia="zh-CN"/>
              </w:rPr>
              <w:t>3</w:t>
            </w:r>
            <w:r w:rsidRPr="00427529">
              <w:rPr>
                <w:b/>
                <w:bCs/>
                <w:color w:val="000000"/>
                <w:lang w:eastAsia="zh-CN"/>
              </w:rPr>
              <w:t xml:space="preserve"> </w:t>
            </w:r>
          </w:p>
        </w:tc>
      </w:tr>
      <w:tr w:rsidR="00EE5692" w:rsidRPr="00427529" w:rsidTr="00EE5692">
        <w:trPr>
          <w:trHeight w:val="645"/>
          <w:jc w:val="center"/>
        </w:trPr>
        <w:tc>
          <w:tcPr>
            <w:tcW w:w="1142" w:type="pct"/>
            <w:vMerge/>
            <w:tcBorders>
              <w:bottom w:val="single" w:sz="4" w:space="0" w:color="auto"/>
            </w:tcBorders>
            <w:vAlign w:val="center"/>
            <w:hideMark/>
          </w:tcPr>
          <w:p w:rsidR="00EE5692" w:rsidRPr="00427529" w:rsidRDefault="00EE5692" w:rsidP="005C1918">
            <w:pPr>
              <w:spacing w:line="240" w:lineRule="auto"/>
              <w:rPr>
                <w:b/>
                <w:bCs/>
                <w:color w:val="000000"/>
                <w:lang w:eastAsia="zh-CN"/>
              </w:rPr>
            </w:pPr>
          </w:p>
        </w:tc>
        <w:tc>
          <w:tcPr>
            <w:tcW w:w="1441" w:type="pct"/>
            <w:vMerge/>
            <w:tcBorders>
              <w:bottom w:val="single" w:sz="4" w:space="0" w:color="auto"/>
            </w:tcBorders>
            <w:vAlign w:val="center"/>
            <w:hideMark/>
          </w:tcPr>
          <w:p w:rsidR="00EE5692" w:rsidRPr="00427529" w:rsidRDefault="00EE5692" w:rsidP="005C1918">
            <w:pPr>
              <w:spacing w:line="240" w:lineRule="auto"/>
              <w:rPr>
                <w:b/>
                <w:bCs/>
                <w:color w:val="000000"/>
                <w:lang w:eastAsia="zh-CN"/>
              </w:rPr>
            </w:pPr>
          </w:p>
        </w:tc>
        <w:tc>
          <w:tcPr>
            <w:tcW w:w="511" w:type="pct"/>
            <w:vMerge/>
            <w:tcBorders>
              <w:bottom w:val="single" w:sz="4" w:space="0" w:color="auto"/>
            </w:tcBorders>
            <w:vAlign w:val="center"/>
            <w:hideMark/>
          </w:tcPr>
          <w:p w:rsidR="00EE5692" w:rsidRPr="00427529" w:rsidRDefault="00EE5692" w:rsidP="005C1918">
            <w:pPr>
              <w:spacing w:line="240" w:lineRule="auto"/>
              <w:rPr>
                <w:b/>
                <w:bCs/>
                <w:color w:val="000000"/>
                <w:lang w:eastAsia="zh-CN"/>
              </w:rPr>
            </w:pPr>
          </w:p>
        </w:tc>
        <w:tc>
          <w:tcPr>
            <w:tcW w:w="910" w:type="pct"/>
            <w:vMerge/>
            <w:tcBorders>
              <w:bottom w:val="single" w:sz="4" w:space="0" w:color="auto"/>
            </w:tcBorders>
            <w:vAlign w:val="center"/>
            <w:hideMark/>
          </w:tcPr>
          <w:p w:rsidR="00EE5692" w:rsidRPr="00427529" w:rsidRDefault="00EE5692" w:rsidP="005C1918">
            <w:pPr>
              <w:spacing w:line="240" w:lineRule="auto"/>
              <w:rPr>
                <w:b/>
                <w:bCs/>
                <w:color w:val="000000"/>
                <w:lang w:eastAsia="zh-CN"/>
              </w:rPr>
            </w:pPr>
          </w:p>
        </w:tc>
        <w:tc>
          <w:tcPr>
            <w:tcW w:w="996" w:type="pct"/>
            <w:vMerge/>
            <w:tcBorders>
              <w:bottom w:val="single" w:sz="4" w:space="0" w:color="auto"/>
            </w:tcBorders>
            <w:vAlign w:val="center"/>
            <w:hideMark/>
          </w:tcPr>
          <w:p w:rsidR="00EE5692" w:rsidRPr="00427529" w:rsidRDefault="00EE5692" w:rsidP="005C1918">
            <w:pPr>
              <w:spacing w:line="240" w:lineRule="auto"/>
              <w:rPr>
                <w:b/>
                <w:bCs/>
                <w:color w:val="000000"/>
                <w:lang w:eastAsia="zh-CN"/>
              </w:rPr>
            </w:pPr>
          </w:p>
        </w:tc>
      </w:tr>
      <w:tr w:rsidR="00EE5692" w:rsidRPr="00427529" w:rsidTr="00EE5692">
        <w:trPr>
          <w:trHeight w:val="360"/>
          <w:jc w:val="center"/>
        </w:trPr>
        <w:tc>
          <w:tcPr>
            <w:tcW w:w="1142" w:type="pct"/>
            <w:tcBorders>
              <w:top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0.72</w:t>
            </w:r>
          </w:p>
        </w:tc>
        <w:tc>
          <w:tcPr>
            <w:tcW w:w="1441" w:type="pct"/>
            <w:tcBorders>
              <w:top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0.80</w:t>
            </w:r>
          </w:p>
        </w:tc>
        <w:tc>
          <w:tcPr>
            <w:tcW w:w="511" w:type="pct"/>
            <w:tcBorders>
              <w:top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61.7</w:t>
            </w:r>
          </w:p>
        </w:tc>
        <w:tc>
          <w:tcPr>
            <w:tcW w:w="910" w:type="pct"/>
            <w:tcBorders>
              <w:top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w:t>
            </w:r>
            <w:r>
              <w:rPr>
                <w:bCs/>
                <w:color w:val="000000"/>
                <w:lang w:eastAsia="zh-CN"/>
              </w:rPr>
              <w:t>52</w:t>
            </w:r>
          </w:p>
        </w:tc>
        <w:tc>
          <w:tcPr>
            <w:tcW w:w="996" w:type="pct"/>
            <w:tcBorders>
              <w:top w:val="single" w:sz="4" w:space="0" w:color="auto"/>
            </w:tcBorders>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2.07</w:t>
            </w:r>
          </w:p>
        </w:tc>
      </w:tr>
      <w:tr w:rsidR="00EE5692" w:rsidRPr="00427529" w:rsidTr="00EE5692">
        <w:trPr>
          <w:trHeight w:val="360"/>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0.67</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0.84</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40.3</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2.59</w:t>
            </w:r>
          </w:p>
        </w:tc>
        <w:tc>
          <w:tcPr>
            <w:tcW w:w="996" w:type="pct"/>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3.08</w:t>
            </w:r>
          </w:p>
        </w:tc>
      </w:tr>
      <w:tr w:rsidR="00EE5692" w:rsidRPr="00427529" w:rsidTr="00EE5692">
        <w:trPr>
          <w:trHeight w:val="360"/>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0.50</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734A59">
              <w:rPr>
                <w:bCs/>
                <w:color w:val="000000"/>
                <w:lang w:eastAsia="zh-CN"/>
              </w:rPr>
              <w:t>0.66</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4.9</w:t>
            </w:r>
            <w:r>
              <w:rPr>
                <w:bCs/>
                <w:color w:val="000000"/>
                <w:lang w:eastAsia="zh-CN"/>
              </w:rPr>
              <w:t>0</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2.29</w:t>
            </w:r>
          </w:p>
        </w:tc>
        <w:tc>
          <w:tcPr>
            <w:tcW w:w="996" w:type="pct"/>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2.30</w:t>
            </w:r>
          </w:p>
        </w:tc>
      </w:tr>
      <w:tr w:rsidR="00EE5692" w:rsidRPr="00427529" w:rsidTr="00EE5692">
        <w:trPr>
          <w:trHeight w:val="345"/>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0.33</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1.19</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38.3</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3.08</w:t>
            </w:r>
          </w:p>
        </w:tc>
        <w:tc>
          <w:tcPr>
            <w:tcW w:w="996" w:type="pct"/>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3.16</w:t>
            </w:r>
          </w:p>
        </w:tc>
      </w:tr>
      <w:tr w:rsidR="00EE5692" w:rsidRPr="00427529" w:rsidTr="00EE5692">
        <w:trPr>
          <w:trHeight w:val="435"/>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0.25</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3.01</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5.2</w:t>
            </w:r>
            <w:r>
              <w:rPr>
                <w:bCs/>
                <w:color w:val="000000"/>
                <w:lang w:eastAsia="zh-CN"/>
              </w:rPr>
              <w:t>0</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4.91</w:t>
            </w:r>
          </w:p>
        </w:tc>
        <w:tc>
          <w:tcPr>
            <w:tcW w:w="996" w:type="pct"/>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4.82</w:t>
            </w:r>
          </w:p>
        </w:tc>
      </w:tr>
      <w:tr w:rsidR="00EE5692" w:rsidRPr="00427529" w:rsidTr="00EE5692">
        <w:trPr>
          <w:trHeight w:val="390"/>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0.20</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1.68</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31.4</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3.66</w:t>
            </w:r>
          </w:p>
        </w:tc>
        <w:tc>
          <w:tcPr>
            <w:tcW w:w="996" w:type="pct"/>
            <w:shd w:val="clear" w:color="auto" w:fill="auto"/>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3.67</w:t>
            </w:r>
          </w:p>
        </w:tc>
      </w:tr>
      <w:tr w:rsidR="00EE5692" w:rsidRPr="00427529" w:rsidTr="00EE5692">
        <w:trPr>
          <w:trHeight w:val="375"/>
          <w:jc w:val="center"/>
        </w:trPr>
        <w:tc>
          <w:tcPr>
            <w:tcW w:w="1142"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0.00L</w:t>
            </w:r>
          </w:p>
        </w:tc>
        <w:tc>
          <w:tcPr>
            <w:tcW w:w="144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2.76</w:t>
            </w:r>
          </w:p>
        </w:tc>
        <w:tc>
          <w:tcPr>
            <w:tcW w:w="511"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3.9</w:t>
            </w:r>
            <w:r>
              <w:rPr>
                <w:bCs/>
                <w:color w:val="000000"/>
                <w:lang w:eastAsia="zh-CN"/>
              </w:rPr>
              <w:t>0</w:t>
            </w:r>
          </w:p>
        </w:tc>
        <w:tc>
          <w:tcPr>
            <w:tcW w:w="910" w:type="pct"/>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4.69</w:t>
            </w:r>
          </w:p>
        </w:tc>
        <w:tc>
          <w:tcPr>
            <w:tcW w:w="996" w:type="pct"/>
            <w:shd w:val="clear" w:color="auto" w:fill="auto"/>
            <w:vAlign w:val="center"/>
            <w:hideMark/>
          </w:tcPr>
          <w:p w:rsidR="00EE5692" w:rsidRPr="00427529" w:rsidRDefault="00EE5692" w:rsidP="00480763">
            <w:pPr>
              <w:spacing w:line="240" w:lineRule="auto"/>
              <w:jc w:val="center"/>
              <w:rPr>
                <w:bCs/>
                <w:color w:val="000000"/>
                <w:lang w:eastAsia="zh-CN"/>
              </w:rPr>
            </w:pPr>
            <w:r w:rsidRPr="00427529">
              <w:rPr>
                <w:bCs/>
                <w:color w:val="000000"/>
                <w:lang w:eastAsia="zh-CN"/>
              </w:rPr>
              <w:t>4.</w:t>
            </w:r>
            <w:r w:rsidR="00480763">
              <w:rPr>
                <w:bCs/>
                <w:color w:val="000000"/>
                <w:lang w:eastAsia="zh-CN"/>
              </w:rPr>
              <w:t>7</w:t>
            </w:r>
            <w:r w:rsidRPr="00427529">
              <w:sym w:font="Symbol" w:char="F02D"/>
            </w:r>
            <w:r w:rsidRPr="00427529">
              <w:rPr>
                <w:bCs/>
                <w:color w:val="000000"/>
                <w:lang w:eastAsia="zh-CN"/>
              </w:rPr>
              <w:t>5.2[2</w:t>
            </w:r>
            <w:r>
              <w:rPr>
                <w:bCs/>
                <w:color w:val="000000"/>
                <w:lang w:eastAsia="zh-CN"/>
              </w:rPr>
              <w:t>4</w:t>
            </w:r>
            <w:r w:rsidRPr="00427529">
              <w:rPr>
                <w:bCs/>
                <w:color w:val="000000"/>
                <w:lang w:eastAsia="zh-CN"/>
              </w:rPr>
              <w:t>]</w:t>
            </w:r>
          </w:p>
        </w:tc>
      </w:tr>
      <w:tr w:rsidR="00EE5692" w:rsidRPr="00427529" w:rsidTr="00EE5692">
        <w:trPr>
          <w:trHeight w:val="375"/>
          <w:jc w:val="center"/>
        </w:trPr>
        <w:tc>
          <w:tcPr>
            <w:tcW w:w="1142" w:type="pct"/>
            <w:tcBorders>
              <w:bottom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0.00S</w:t>
            </w:r>
          </w:p>
        </w:tc>
        <w:tc>
          <w:tcPr>
            <w:tcW w:w="1441" w:type="pct"/>
            <w:tcBorders>
              <w:bottom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3.42</w:t>
            </w:r>
          </w:p>
        </w:tc>
        <w:tc>
          <w:tcPr>
            <w:tcW w:w="511" w:type="pct"/>
            <w:tcBorders>
              <w:bottom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sym w:font="Symbol" w:char="F02D"/>
            </w:r>
            <w:r w:rsidRPr="00427529">
              <w:rPr>
                <w:bCs/>
                <w:color w:val="000000"/>
                <w:lang w:eastAsia="zh-CN"/>
              </w:rPr>
              <w:t>1.3</w:t>
            </w:r>
            <w:r>
              <w:rPr>
                <w:bCs/>
                <w:color w:val="000000"/>
                <w:lang w:eastAsia="zh-CN"/>
              </w:rPr>
              <w:t>0</w:t>
            </w:r>
          </w:p>
        </w:tc>
        <w:tc>
          <w:tcPr>
            <w:tcW w:w="910" w:type="pct"/>
            <w:tcBorders>
              <w:bottom w:val="single" w:sz="4" w:space="0" w:color="auto"/>
            </w:tcBorders>
            <w:shd w:val="clear" w:color="auto" w:fill="auto"/>
            <w:noWrap/>
            <w:vAlign w:val="center"/>
            <w:hideMark/>
          </w:tcPr>
          <w:p w:rsidR="00EE5692" w:rsidRPr="00427529" w:rsidRDefault="00EE5692" w:rsidP="005C1918">
            <w:pPr>
              <w:spacing w:line="240" w:lineRule="auto"/>
              <w:jc w:val="center"/>
              <w:rPr>
                <w:bCs/>
                <w:color w:val="000000"/>
                <w:lang w:eastAsia="zh-CN"/>
              </w:rPr>
            </w:pPr>
            <w:r w:rsidRPr="00427529">
              <w:rPr>
                <w:bCs/>
                <w:color w:val="000000"/>
                <w:lang w:eastAsia="zh-CN"/>
              </w:rPr>
              <w:t>5.23</w:t>
            </w:r>
          </w:p>
        </w:tc>
        <w:tc>
          <w:tcPr>
            <w:tcW w:w="996" w:type="pct"/>
            <w:tcBorders>
              <w:bottom w:val="single" w:sz="4" w:space="0" w:color="auto"/>
            </w:tcBorders>
            <w:shd w:val="clear" w:color="auto" w:fill="auto"/>
            <w:vAlign w:val="center"/>
            <w:hideMark/>
          </w:tcPr>
          <w:p w:rsidR="00EE5692" w:rsidRPr="00427529" w:rsidRDefault="00EE5692" w:rsidP="00480763">
            <w:pPr>
              <w:spacing w:line="240" w:lineRule="auto"/>
              <w:jc w:val="center"/>
              <w:rPr>
                <w:bCs/>
                <w:color w:val="000000"/>
                <w:lang w:eastAsia="zh-CN"/>
              </w:rPr>
            </w:pPr>
            <w:r w:rsidRPr="00427529">
              <w:rPr>
                <w:bCs/>
                <w:color w:val="000000"/>
                <w:lang w:eastAsia="zh-CN"/>
              </w:rPr>
              <w:t>4.</w:t>
            </w:r>
            <w:r w:rsidR="00480763">
              <w:rPr>
                <w:bCs/>
                <w:color w:val="000000"/>
                <w:lang w:eastAsia="zh-CN"/>
              </w:rPr>
              <w:t>7</w:t>
            </w:r>
            <w:r w:rsidRPr="00427529">
              <w:sym w:font="Symbol" w:char="F02D"/>
            </w:r>
            <w:r w:rsidRPr="00427529">
              <w:rPr>
                <w:bCs/>
                <w:color w:val="000000"/>
                <w:lang w:eastAsia="zh-CN"/>
              </w:rPr>
              <w:t>5.2[2</w:t>
            </w:r>
            <w:r>
              <w:rPr>
                <w:bCs/>
                <w:color w:val="000000"/>
                <w:lang w:eastAsia="zh-CN"/>
              </w:rPr>
              <w:t>4</w:t>
            </w:r>
            <w:r w:rsidRPr="00427529">
              <w:rPr>
                <w:bCs/>
                <w:color w:val="000000"/>
                <w:lang w:eastAsia="zh-CN"/>
              </w:rPr>
              <w:t>]</w:t>
            </w:r>
          </w:p>
        </w:tc>
      </w:tr>
    </w:tbl>
    <w:p w:rsidR="00EE5692" w:rsidRPr="00EE5692" w:rsidRDefault="00EE5692" w:rsidP="00EE5692"/>
    <w:p w:rsidR="00CE0D8D" w:rsidRPr="00427529" w:rsidRDefault="00CE0D8D" w:rsidP="00C2220C">
      <w:pPr>
        <w:spacing w:after="100"/>
        <w:jc w:val="both"/>
      </w:pPr>
    </w:p>
    <w:p w:rsidR="00C2220C" w:rsidRDefault="00C2220C" w:rsidP="000A1C07">
      <w:pPr>
        <w:spacing w:after="100"/>
        <w:jc w:val="both"/>
      </w:pPr>
      <w:r w:rsidRPr="00427529">
        <w:t>In the case of LaCoO</w:t>
      </w:r>
      <w:r w:rsidRPr="00427529">
        <w:rPr>
          <w:vertAlign w:val="subscript"/>
        </w:rPr>
        <w:t>3</w:t>
      </w:r>
      <w:r w:rsidRPr="00427529">
        <w:t>, experimental and theoretical data suggest a direct transition of trivalent cobalt Co(III) from LS to HS states at T ≈ 90 K.[</w:t>
      </w:r>
      <w:r w:rsidR="006B0BE7" w:rsidRPr="00427529">
        <w:t>1</w:t>
      </w:r>
      <w:r w:rsidR="006B5396">
        <w:t>8</w:t>
      </w:r>
      <w:r w:rsidRPr="00427529">
        <w:t>,</w:t>
      </w:r>
      <w:r w:rsidR="00843E82" w:rsidRPr="00427529">
        <w:t>1</w:t>
      </w:r>
      <w:r w:rsidR="006B5396">
        <w:t>9</w:t>
      </w:r>
      <w:r w:rsidRPr="00427529">
        <w:t>] It remains controversial whether an int</w:t>
      </w:r>
      <w:r w:rsidR="005D57ED" w:rsidRPr="00427529">
        <w:t>ermediate spin state (IS) exist.</w:t>
      </w:r>
      <w:r w:rsidRPr="00427529">
        <w:t>[</w:t>
      </w:r>
      <w:r w:rsidR="00557B04">
        <w:t>20</w:t>
      </w:r>
      <w:r w:rsidRPr="00427529">
        <w:t>,</w:t>
      </w:r>
      <w:r w:rsidR="00A23EA4" w:rsidRPr="00427529">
        <w:t>2</w:t>
      </w:r>
      <w:r w:rsidR="00557B04">
        <w:t>1</w:t>
      </w:r>
      <w:r w:rsidRPr="00427529">
        <w:t>,</w:t>
      </w:r>
      <w:r w:rsidR="00A23EA4" w:rsidRPr="00427529">
        <w:t>2</w:t>
      </w:r>
      <w:r w:rsidR="00557B04">
        <w:t>2</w:t>
      </w:r>
      <w:r w:rsidRPr="00427529">
        <w:t>,</w:t>
      </w:r>
      <w:r w:rsidR="00A23EA4" w:rsidRPr="00427529">
        <w:t>2</w:t>
      </w:r>
      <w:r w:rsidR="00557B04">
        <w:t>3</w:t>
      </w:r>
      <w:r w:rsidRPr="00427529">
        <w:t>] For La</w:t>
      </w:r>
      <w:r w:rsidRPr="00427529">
        <w:rPr>
          <w:vertAlign w:val="subscript"/>
        </w:rPr>
        <w:t>4</w:t>
      </w:r>
      <w:r w:rsidRPr="00427529">
        <w:t>Co</w:t>
      </w:r>
      <w:r w:rsidRPr="00427529">
        <w:rPr>
          <w:vertAlign w:val="subscript"/>
        </w:rPr>
        <w:t>3</w:t>
      </w:r>
      <w:r w:rsidRPr="00427529">
        <w:t>O</w:t>
      </w:r>
      <w:r w:rsidRPr="00427529">
        <w:rPr>
          <w:vertAlign w:val="subscript"/>
        </w:rPr>
        <w:t>10</w:t>
      </w:r>
      <w:r w:rsidRPr="00427529">
        <w:t xml:space="preserve"> the picture is more complicated</w:t>
      </w:r>
      <w:r w:rsidR="00720B83" w:rsidRPr="00427529">
        <w:t xml:space="preserve">. </w:t>
      </w:r>
      <w:r w:rsidR="009752FE" w:rsidRPr="00427529">
        <w:t xml:space="preserve">The magnetic </w:t>
      </w:r>
      <w:r w:rsidR="00295BEE" w:rsidRPr="00427529">
        <w:t>susceptibility</w:t>
      </w:r>
      <w:r w:rsidR="009752FE" w:rsidRPr="00427529">
        <w:t xml:space="preserve"> of</w:t>
      </w:r>
      <w:r w:rsidRPr="00427529">
        <w:t xml:space="preserve">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006A3D9C"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w:t>
      </w:r>
      <w:r w:rsidR="009752FE" w:rsidRPr="00427529">
        <w:t>follow</w:t>
      </w:r>
      <w:r w:rsidR="008C3F73" w:rsidRPr="00427529">
        <w:t>s</w:t>
      </w:r>
      <w:r w:rsidR="009752FE" w:rsidRPr="00427529">
        <w:t xml:space="preserve"> to a large extent the Curie Weiss Law in the range </w:t>
      </w:r>
      <w:r w:rsidRPr="00427529">
        <w:t>80</w:t>
      </w:r>
      <w:r w:rsidR="005D57ED" w:rsidRPr="00427529">
        <w:t xml:space="preserve"> K</w:t>
      </w:r>
      <w:r w:rsidRPr="00427529">
        <w:t xml:space="preserve"> </w:t>
      </w:r>
      <w:r w:rsidR="005D57ED" w:rsidRPr="00427529">
        <w:t>−</w:t>
      </w:r>
      <w:r w:rsidRPr="00427529">
        <w:t xml:space="preserve"> 300 K</w:t>
      </w:r>
      <w:r w:rsidR="009752FE" w:rsidRPr="00427529">
        <w:t>. The deduced</w:t>
      </w:r>
      <w:r w:rsidRPr="00427529">
        <w:t xml:space="preserve"> effective </w:t>
      </w:r>
      <w:r w:rsidR="009752FE" w:rsidRPr="00427529">
        <w:t>para</w:t>
      </w:r>
      <w:r w:rsidRPr="00427529">
        <w:t>magnetic moment (</w:t>
      </w:r>
      <w:proofErr w:type="spellStart"/>
      <w:r w:rsidRPr="00427529">
        <w:t>μ</w:t>
      </w:r>
      <w:r w:rsidRPr="00427529">
        <w:rPr>
          <w:vertAlign w:val="subscript"/>
        </w:rPr>
        <w:t>eff</w:t>
      </w:r>
      <w:proofErr w:type="spellEnd"/>
      <w:r w:rsidRPr="00427529">
        <w:t xml:space="preserve">) </w:t>
      </w:r>
      <w:r w:rsidR="009752FE" w:rsidRPr="00427529">
        <w:t>and</w:t>
      </w:r>
      <w:r w:rsidRPr="00427529">
        <w:t xml:space="preserve"> the Weiss constant ‘</w:t>
      </w:r>
      <w:r w:rsidRPr="00427529">
        <w:rPr>
          <w:i/>
        </w:rPr>
        <w:t>θ</w:t>
      </w:r>
      <w:r w:rsidRPr="00427529">
        <w:t xml:space="preserve">’ </w:t>
      </w:r>
      <w:r w:rsidR="009752FE" w:rsidRPr="00427529">
        <w:t>are listed in Table 2</w:t>
      </w:r>
      <w:r w:rsidRPr="00427529">
        <w:t xml:space="preserve">. </w:t>
      </w:r>
      <w:r w:rsidR="000038F3" w:rsidRPr="00427529">
        <w:t>For</w:t>
      </w:r>
      <w:r w:rsidRPr="00427529">
        <w:t xml:space="preserve"> </w:t>
      </w:r>
      <w:r w:rsidRPr="00427529">
        <w:rPr>
          <w:i/>
        </w:rPr>
        <w:t>x</w:t>
      </w:r>
      <w:r w:rsidRPr="00427529">
        <w:t xml:space="preserve"> </w:t>
      </w:r>
      <w:r w:rsidR="000038F3" w:rsidRPr="00427529">
        <w:t>&gt;</w:t>
      </w:r>
      <w:r w:rsidRPr="00427529">
        <w:t xml:space="preserve"> 0.72</w:t>
      </w:r>
      <w:r w:rsidR="000038F3" w:rsidRPr="00427529">
        <w:t xml:space="preserve"> the susceptibility is low and the CW law is not applicable. </w:t>
      </w:r>
      <w:r w:rsidRPr="00427529">
        <w:t>The</w:t>
      </w:r>
      <w:r w:rsidR="000038F3" w:rsidRPr="00427529">
        <w:t xml:space="preserve"> derived</w:t>
      </w:r>
      <w:r w:rsidRPr="00427529">
        <w:t xml:space="preserve"> ‘</w:t>
      </w:r>
      <w:r w:rsidRPr="00427529">
        <w:rPr>
          <w:i/>
        </w:rPr>
        <w:t>θ</w:t>
      </w:r>
      <w:r w:rsidRPr="00427529">
        <w:t xml:space="preserve">’ values </w:t>
      </w:r>
      <w:r w:rsidR="000038F3" w:rsidRPr="00427529">
        <w:t xml:space="preserve">are consistent with the </w:t>
      </w:r>
      <w:r w:rsidR="00CD01C2" w:rsidRPr="00427529">
        <w:t xml:space="preserve">observed </w:t>
      </w:r>
      <w:r w:rsidR="000038F3" w:rsidRPr="00427529">
        <w:t>low ordering tempe</w:t>
      </w:r>
      <w:r w:rsidR="00427529" w:rsidRPr="00427529">
        <w:t>r</w:t>
      </w:r>
      <w:r w:rsidR="000038F3" w:rsidRPr="00427529">
        <w:t>atures</w:t>
      </w:r>
      <w:r w:rsidR="00386135" w:rsidRPr="00427529">
        <w:t>, however, an anomalous (</w:t>
      </w:r>
      <w:r w:rsidR="00190CC2">
        <w:t>positive</w:t>
      </w:r>
      <w:r w:rsidR="00386135" w:rsidRPr="00427529">
        <w:t xml:space="preserve">) value is observed for </w:t>
      </w:r>
      <w:r w:rsidR="00386135" w:rsidRPr="00427529">
        <w:rPr>
          <w:i/>
        </w:rPr>
        <w:t>x</w:t>
      </w:r>
      <w:r w:rsidR="00386135" w:rsidRPr="00427529">
        <w:t xml:space="preserve"> = 0.50.</w:t>
      </w:r>
      <w:r w:rsidRPr="00427529">
        <w:t xml:space="preserve"> The effective paramagnetic moment </w:t>
      </w:r>
      <w:r w:rsidR="00CD01C2" w:rsidRPr="00427529">
        <w:t>shows</w:t>
      </w:r>
      <w:r w:rsidRPr="00427529">
        <w:t xml:space="preserve"> a gradual decrease from </w:t>
      </w:r>
      <w:r w:rsidRPr="00427529">
        <w:rPr>
          <w:i/>
        </w:rPr>
        <w:t>x</w:t>
      </w:r>
      <w:r w:rsidR="00720B83" w:rsidRPr="00427529">
        <w:t xml:space="preserve"> = 0.20, 0.33, 0.67</w:t>
      </w:r>
      <w:r w:rsidRPr="00427529">
        <w:t xml:space="preserve"> to 0.72</w:t>
      </w:r>
      <w:r w:rsidR="00386135" w:rsidRPr="00427529">
        <w:t>.</w:t>
      </w:r>
      <w:r w:rsidRPr="00427529">
        <w:t xml:space="preserve"> </w:t>
      </w:r>
      <w:r w:rsidR="00386135" w:rsidRPr="00427529">
        <w:t xml:space="preserve">According to </w:t>
      </w:r>
      <w:r w:rsidR="006A3D9C" w:rsidRPr="00427529">
        <w:t>T</w:t>
      </w:r>
      <w:r w:rsidRPr="00427529">
        <w:t>able</w:t>
      </w:r>
      <w:r w:rsidR="00514449" w:rsidRPr="00427529">
        <w:t xml:space="preserve"> 2</w:t>
      </w:r>
      <w:r w:rsidR="008C3F73" w:rsidRPr="00427529">
        <w:t xml:space="preserve"> the observed </w:t>
      </w:r>
      <w:proofErr w:type="spellStart"/>
      <w:r w:rsidR="00F9365C" w:rsidRPr="00427529">
        <w:t>μ</w:t>
      </w:r>
      <w:r w:rsidR="00F9365C" w:rsidRPr="00427529">
        <w:rPr>
          <w:vertAlign w:val="subscript"/>
        </w:rPr>
        <w:t>eff</w:t>
      </w:r>
      <w:proofErr w:type="spellEnd"/>
      <w:r w:rsidRPr="00427529">
        <w:t xml:space="preserve"> values are in good agreement with </w:t>
      </w:r>
      <w:r w:rsidR="00F9365C" w:rsidRPr="00427529">
        <w:t>calculated values based on the spin-only approximation</w:t>
      </w:r>
      <w:r w:rsidRPr="00427529">
        <w:t xml:space="preserve"> </w:t>
      </w:r>
      <w:r w:rsidR="00F9365C" w:rsidRPr="00427529">
        <w:t xml:space="preserve">when anticipating Co(III) in </w:t>
      </w:r>
      <w:r w:rsidR="005D57ED" w:rsidRPr="00427529">
        <w:t>3</w:t>
      </w:r>
      <w:r w:rsidRPr="00427529">
        <w:rPr>
          <w:i/>
        </w:rPr>
        <w:t>d</w:t>
      </w:r>
      <w:r w:rsidRPr="00427529">
        <w:rPr>
          <w:i/>
          <w:vertAlign w:val="superscript"/>
        </w:rPr>
        <w:t>6</w:t>
      </w:r>
      <w:r w:rsidRPr="00427529">
        <w:t xml:space="preserve"> low spin (LS), (</w:t>
      </w:r>
      <m:oMath>
        <m:sSubSup>
          <m:sSubSupPr>
            <m:ctrlPr>
              <w:rPr>
                <w:rFonts w:ascii="Cambria Math" w:hAnsi="Cambria Math"/>
                <w:i/>
              </w:rPr>
            </m:ctrlPr>
          </m:sSubSupPr>
          <m:e>
            <m:r>
              <w:rPr>
                <w:rFonts w:ascii="Cambria Math" w:hAnsi="Cambria Math"/>
              </w:rPr>
              <m:t>t</m:t>
            </m:r>
          </m:e>
          <m:sub>
            <m:r>
              <w:rPr>
                <w:rFonts w:ascii="Cambria Math" w:hAnsi="Cambria Math"/>
              </w:rPr>
              <m:t>2g</m:t>
            </m:r>
          </m:sub>
          <m:sup>
            <m:r>
              <w:rPr>
                <w:rFonts w:ascii="Cambria Math" w:hAnsi="Cambria Math"/>
              </w:rPr>
              <m:t>6</m:t>
            </m:r>
          </m:sup>
        </m:sSubSup>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oMath>
      <w:r w:rsidRPr="00427529">
        <w:t xml:space="preserve">)) configuration for all intermediate concentrations </w:t>
      </w:r>
      <w:r w:rsidRPr="00BA235A">
        <w:t xml:space="preserve">except </w:t>
      </w:r>
      <w:r w:rsidRPr="00BA235A">
        <w:rPr>
          <w:i/>
        </w:rPr>
        <w:t>x</w:t>
      </w:r>
      <w:r w:rsidRPr="00BA235A">
        <w:t xml:space="preserve"> = 0.25</w:t>
      </w:r>
      <w:r w:rsidRPr="00427529">
        <w:t xml:space="preserve">. </w:t>
      </w:r>
      <w:r w:rsidR="0037734F" w:rsidRPr="00427529">
        <w:t>For un</w:t>
      </w:r>
      <w:r w:rsidR="00842A84">
        <w:t>-</w:t>
      </w:r>
      <w:r w:rsidR="0037734F" w:rsidRPr="00427529">
        <w:t>substituted La</w:t>
      </w:r>
      <w:r w:rsidR="0037734F" w:rsidRPr="00427529">
        <w:rPr>
          <w:vertAlign w:val="subscript"/>
        </w:rPr>
        <w:t>4</w:t>
      </w:r>
      <w:r w:rsidR="0037734F" w:rsidRPr="00427529">
        <w:t>Co</w:t>
      </w:r>
      <w:r w:rsidR="0037734F" w:rsidRPr="00427529">
        <w:rPr>
          <w:vertAlign w:val="subscript"/>
        </w:rPr>
        <w:t>3</w:t>
      </w:r>
      <w:r w:rsidR="0037734F" w:rsidRPr="00427529">
        <w:t>O</w:t>
      </w:r>
      <w:r w:rsidR="0037734F" w:rsidRPr="00427529">
        <w:rPr>
          <w:vertAlign w:val="subscript"/>
        </w:rPr>
        <w:t>10</w:t>
      </w:r>
      <w:r w:rsidR="0037734F" w:rsidRPr="00427529">
        <w:t xml:space="preserve">, </w:t>
      </w:r>
      <w:proofErr w:type="gramStart"/>
      <w:r w:rsidR="0037734F" w:rsidRPr="00427529">
        <w:t>Co(</w:t>
      </w:r>
      <w:proofErr w:type="gramEnd"/>
      <w:r w:rsidR="0037734F" w:rsidRPr="00427529">
        <w:t xml:space="preserve">II) is </w:t>
      </w:r>
      <w:r w:rsidR="00AF75B1" w:rsidRPr="00427529">
        <w:t xml:space="preserve">hence </w:t>
      </w:r>
      <w:r w:rsidR="0037734F" w:rsidRPr="00427529">
        <w:t>the main</w:t>
      </w:r>
      <w:r w:rsidR="00C13D57" w:rsidRPr="00427529">
        <w:t xml:space="preserve"> magnetically contributing ion. The observed</w:t>
      </w:r>
      <w:r w:rsidR="0037734F" w:rsidRPr="00427529">
        <w:t xml:space="preserve"> effective moment for coarse (</w:t>
      </w:r>
      <w:proofErr w:type="spellStart"/>
      <w:r w:rsidR="0037734F" w:rsidRPr="00427529">
        <w:t>μ</w:t>
      </w:r>
      <w:r w:rsidR="0037734F" w:rsidRPr="00427529">
        <w:rPr>
          <w:vertAlign w:val="subscript"/>
        </w:rPr>
        <w:t>eff</w:t>
      </w:r>
      <w:proofErr w:type="spellEnd"/>
      <w:r w:rsidR="0037734F" w:rsidRPr="00427529">
        <w:rPr>
          <w:vertAlign w:val="subscript"/>
        </w:rPr>
        <w:t xml:space="preserve"> </w:t>
      </w:r>
      <w:r w:rsidR="0037734F" w:rsidRPr="00427529">
        <w:t xml:space="preserve">= 4.69 </w:t>
      </w:r>
      <w:proofErr w:type="spellStart"/>
      <w:r w:rsidR="0037734F" w:rsidRPr="00427529">
        <w:t>μ</w:t>
      </w:r>
      <w:r w:rsidR="0037734F" w:rsidRPr="00427529">
        <w:rPr>
          <w:vertAlign w:val="subscript"/>
        </w:rPr>
        <w:t>B</w:t>
      </w:r>
      <w:proofErr w:type="spellEnd"/>
      <w:r w:rsidR="0037734F" w:rsidRPr="00427529">
        <w:t>) and fine pow</w:t>
      </w:r>
      <w:r w:rsidR="00C13D57" w:rsidRPr="00427529">
        <w:t>d</w:t>
      </w:r>
      <w:r w:rsidR="0037734F" w:rsidRPr="00427529">
        <w:t>er</w:t>
      </w:r>
      <w:r w:rsidR="00C13D57" w:rsidRPr="00427529">
        <w:t>s</w:t>
      </w:r>
      <w:r w:rsidR="0037734F" w:rsidRPr="00427529">
        <w:t xml:space="preserve"> (</w:t>
      </w:r>
      <w:proofErr w:type="spellStart"/>
      <w:r w:rsidR="0037734F" w:rsidRPr="00427529">
        <w:t>μ</w:t>
      </w:r>
      <w:r w:rsidR="0037734F" w:rsidRPr="00427529">
        <w:rPr>
          <w:vertAlign w:val="subscript"/>
        </w:rPr>
        <w:t>eff</w:t>
      </w:r>
      <w:proofErr w:type="spellEnd"/>
      <w:r w:rsidR="0037734F" w:rsidRPr="00427529">
        <w:rPr>
          <w:vertAlign w:val="subscript"/>
        </w:rPr>
        <w:t xml:space="preserve"> </w:t>
      </w:r>
      <w:r w:rsidR="0037734F" w:rsidRPr="00427529">
        <w:t xml:space="preserve">= 5.26 </w:t>
      </w:r>
      <w:proofErr w:type="spellStart"/>
      <w:r w:rsidR="0037734F" w:rsidRPr="00427529">
        <w:t>μ</w:t>
      </w:r>
      <w:r w:rsidR="0037734F" w:rsidRPr="00427529">
        <w:rPr>
          <w:vertAlign w:val="subscript"/>
        </w:rPr>
        <w:t>B</w:t>
      </w:r>
      <w:proofErr w:type="spellEnd"/>
      <w:r w:rsidR="0037734F" w:rsidRPr="00427529">
        <w:t xml:space="preserve">) </w:t>
      </w:r>
      <w:r w:rsidR="00C13D57" w:rsidRPr="00427529">
        <w:t>of La</w:t>
      </w:r>
      <w:r w:rsidR="00C13D57" w:rsidRPr="00427529">
        <w:rPr>
          <w:vertAlign w:val="subscript"/>
        </w:rPr>
        <w:t>4</w:t>
      </w:r>
      <w:r w:rsidR="00C13D57" w:rsidRPr="00427529">
        <w:t>Co</w:t>
      </w:r>
      <w:r w:rsidR="00C13D57" w:rsidRPr="00427529">
        <w:rPr>
          <w:vertAlign w:val="subscript"/>
        </w:rPr>
        <w:t>3</w:t>
      </w:r>
      <w:r w:rsidR="00C13D57" w:rsidRPr="00427529">
        <w:t>O</w:t>
      </w:r>
      <w:r w:rsidR="00C13D57" w:rsidRPr="00427529">
        <w:rPr>
          <w:vertAlign w:val="subscript"/>
        </w:rPr>
        <w:t>10</w:t>
      </w:r>
      <w:r w:rsidR="00C13D57" w:rsidRPr="00427529">
        <w:t xml:space="preserve"> </w:t>
      </w:r>
      <w:r w:rsidR="0037734F" w:rsidRPr="00427529">
        <w:t xml:space="preserve">are within the experimentally </w:t>
      </w:r>
      <w:r w:rsidR="00C13D57" w:rsidRPr="00427529">
        <w:t>reported</w:t>
      </w:r>
      <w:r w:rsidR="0037734F" w:rsidRPr="00427529">
        <w:t xml:space="preserve"> values for </w:t>
      </w:r>
      <w:proofErr w:type="gramStart"/>
      <w:r w:rsidR="0037734F" w:rsidRPr="00427529">
        <w:t>Co(</w:t>
      </w:r>
      <w:proofErr w:type="gramEnd"/>
      <w:r w:rsidR="0037734F" w:rsidRPr="00427529">
        <w:t>II)</w:t>
      </w:r>
      <w:r w:rsidR="00C13D57" w:rsidRPr="00427529">
        <w:t xml:space="preserve"> with S and L contributions; </w:t>
      </w:r>
      <w:proofErr w:type="spellStart"/>
      <w:r w:rsidR="0037734F" w:rsidRPr="00427529">
        <w:t>μ</w:t>
      </w:r>
      <w:r w:rsidR="0037734F" w:rsidRPr="00427529">
        <w:rPr>
          <w:vertAlign w:val="subscript"/>
        </w:rPr>
        <w:t>expt</w:t>
      </w:r>
      <w:proofErr w:type="spellEnd"/>
      <w:r w:rsidR="0037734F" w:rsidRPr="00427529">
        <w:rPr>
          <w:vertAlign w:val="subscript"/>
        </w:rPr>
        <w:t xml:space="preserve"> </w:t>
      </w:r>
      <w:r w:rsidR="0037734F" w:rsidRPr="00427529">
        <w:t>= 4.</w:t>
      </w:r>
      <w:r w:rsidR="00480763">
        <w:t>7</w:t>
      </w:r>
      <w:r w:rsidR="0037734F" w:rsidRPr="00427529">
        <w:t xml:space="preserve"> </w:t>
      </w:r>
      <w:r w:rsidR="0037734F" w:rsidRPr="00427529">
        <w:sym w:font="Symbol" w:char="F02D"/>
      </w:r>
      <w:r w:rsidR="0037734F" w:rsidRPr="00427529">
        <w:t xml:space="preserve"> 5.2 </w:t>
      </w:r>
      <w:proofErr w:type="spellStart"/>
      <w:r w:rsidR="0037734F" w:rsidRPr="00427529">
        <w:t>μ</w:t>
      </w:r>
      <w:r w:rsidR="0037734F" w:rsidRPr="00427529">
        <w:rPr>
          <w:vertAlign w:val="subscript"/>
        </w:rPr>
        <w:t>B</w:t>
      </w:r>
      <w:proofErr w:type="spellEnd"/>
      <w:r w:rsidR="0037734F" w:rsidRPr="00427529">
        <w:t>.[2</w:t>
      </w:r>
      <w:r w:rsidR="00557B04">
        <w:t>4</w:t>
      </w:r>
      <w:r w:rsidR="0037734F" w:rsidRPr="00427529">
        <w:t xml:space="preserve">] </w:t>
      </w:r>
      <w:r w:rsidR="00C13D57" w:rsidRPr="00427529">
        <w:t>This</w:t>
      </w:r>
      <w:r w:rsidR="0037734F" w:rsidRPr="00427529">
        <w:t xml:space="preserve"> slight </w:t>
      </w:r>
      <w:r w:rsidR="00720B83" w:rsidRPr="00427529">
        <w:t>difference</w:t>
      </w:r>
      <w:r w:rsidR="0037734F" w:rsidRPr="00427529">
        <w:t xml:space="preserve"> in moment </w:t>
      </w:r>
      <w:r w:rsidR="00C13D57" w:rsidRPr="00427529">
        <w:t>is tentatively explained by</w:t>
      </w:r>
      <w:r w:rsidR="0037734F" w:rsidRPr="00427529">
        <w:t xml:space="preserve"> increase in the surface to volume ratio,</w:t>
      </w:r>
      <w:r w:rsidR="00427529" w:rsidRPr="00427529">
        <w:t xml:space="preserve"> </w:t>
      </w:r>
      <w:r w:rsidR="00C13D57" w:rsidRPr="00427529">
        <w:t xml:space="preserve">and </w:t>
      </w:r>
      <w:r w:rsidR="00342F45" w:rsidRPr="00427529">
        <w:t xml:space="preserve">hence </w:t>
      </w:r>
      <w:r w:rsidR="00C13D57" w:rsidRPr="00427529">
        <w:t>additional</w:t>
      </w:r>
      <w:r w:rsidR="0037734F" w:rsidRPr="00427529">
        <w:t xml:space="preserve"> </w:t>
      </w:r>
      <w:r w:rsidR="00342F45" w:rsidRPr="00427529">
        <w:t>contributi</w:t>
      </w:r>
      <w:r w:rsidR="00C13D57" w:rsidRPr="00427529">
        <w:t xml:space="preserve">ons from Co(III) with perturbed local structure at the </w:t>
      </w:r>
      <w:r w:rsidR="0037734F" w:rsidRPr="00427529">
        <w:t>surface</w:t>
      </w:r>
      <w:r w:rsidR="00C13D57" w:rsidRPr="00427529">
        <w:t>.</w:t>
      </w:r>
      <w:r w:rsidR="0037734F" w:rsidRPr="00427529">
        <w:t xml:space="preserve"> </w:t>
      </w:r>
      <w:r w:rsidRPr="00427529">
        <w:t xml:space="preserve">For </w:t>
      </w:r>
      <w:r w:rsidRPr="00427529">
        <w:rPr>
          <w:i/>
        </w:rPr>
        <w:t>x</w:t>
      </w:r>
      <w:r w:rsidRPr="00427529">
        <w:t xml:space="preserve"> = 0.72 (</w:t>
      </w:r>
      <w:proofErr w:type="spellStart"/>
      <w:proofErr w:type="gramStart"/>
      <w:r w:rsidRPr="00427529">
        <w:t>μ</w:t>
      </w:r>
      <w:r w:rsidRPr="00427529">
        <w:rPr>
          <w:vertAlign w:val="subscript"/>
        </w:rPr>
        <w:t>eff</w:t>
      </w:r>
      <w:proofErr w:type="spellEnd"/>
      <w:r w:rsidRPr="00427529">
        <w:rPr>
          <w:vertAlign w:val="subscript"/>
        </w:rPr>
        <w:t xml:space="preserve"> </w:t>
      </w:r>
      <w:r w:rsidR="005D57ED" w:rsidRPr="00427529">
        <w:rPr>
          <w:vertAlign w:val="subscript"/>
        </w:rPr>
        <w:t xml:space="preserve"> </w:t>
      </w:r>
      <w:r w:rsidRPr="00427529">
        <w:t>=</w:t>
      </w:r>
      <w:proofErr w:type="gramEnd"/>
      <w:r w:rsidRPr="00427529">
        <w:t xml:space="preserve"> 2.26 </w:t>
      </w:r>
      <w:proofErr w:type="spellStart"/>
      <w:r w:rsidRPr="00427529">
        <w:t>μ</w:t>
      </w:r>
      <w:r w:rsidRPr="00427529">
        <w:rPr>
          <w:vertAlign w:val="subscript"/>
        </w:rPr>
        <w:t>B</w:t>
      </w:r>
      <w:proofErr w:type="spellEnd"/>
      <w:r w:rsidR="005D57ED" w:rsidRPr="00427529">
        <w:t xml:space="preserve">; </w:t>
      </w:r>
      <w:proofErr w:type="spellStart"/>
      <w:r w:rsidR="005D57ED" w:rsidRPr="00427529">
        <w:t>μ</w:t>
      </w:r>
      <w:r w:rsidR="005D57ED" w:rsidRPr="00427529">
        <w:rPr>
          <w:vertAlign w:val="subscript"/>
        </w:rPr>
        <w:t>calc</w:t>
      </w:r>
      <w:proofErr w:type="spellEnd"/>
      <w:r w:rsidR="005D57ED" w:rsidRPr="00427529">
        <w:t xml:space="preserve"> = </w:t>
      </w:r>
      <w:r w:rsidRPr="00427529">
        <w:t xml:space="preserve">2.59 </w:t>
      </w:r>
      <w:proofErr w:type="spellStart"/>
      <w:r w:rsidRPr="00427529">
        <w:t>μ</w:t>
      </w:r>
      <w:r w:rsidRPr="00427529">
        <w:rPr>
          <w:vertAlign w:val="subscript"/>
        </w:rPr>
        <w:t>B</w:t>
      </w:r>
      <w:proofErr w:type="spellEnd"/>
      <w:r w:rsidRPr="00427529">
        <w:t xml:space="preserve">; respectively) Co(II) </w:t>
      </w:r>
      <w:r w:rsidR="00933120" w:rsidRPr="00427529">
        <w:t>will be fully replaced with Ni(II) [</w:t>
      </w:r>
      <w:r w:rsidR="001236D7">
        <w:t>3</w:t>
      </w:r>
      <w:r w:rsidRPr="00427529">
        <w:rPr>
          <w:i/>
        </w:rPr>
        <w:t>d</w:t>
      </w:r>
      <w:r w:rsidRPr="00427529">
        <w:rPr>
          <w:i/>
          <w:vertAlign w:val="superscript"/>
        </w:rPr>
        <w:t>8</w:t>
      </w:r>
      <w:r w:rsidRPr="00427529">
        <w:t xml:space="preserve"> HS </w:t>
      </w:r>
      <m:oMath>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2g</m:t>
            </m:r>
          </m:sub>
          <m:sup>
            <m:r>
              <w:rPr>
                <w:rFonts w:ascii="Cambria Math" w:hAnsi="Cambria Math"/>
              </w:rPr>
              <m:t>6</m:t>
            </m:r>
          </m:sup>
        </m:sSubSup>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2</m:t>
            </m:r>
          </m:sup>
        </m:sSubSup>
        <m:r>
          <w:rPr>
            <w:rFonts w:ascii="Cambria Math" w:hAnsi="Cambria Math"/>
          </w:rPr>
          <m:t xml:space="preserve"> )]</m:t>
        </m:r>
      </m:oMath>
      <w:r w:rsidRPr="00427529">
        <w:t>, whereas</w:t>
      </w:r>
      <w:r w:rsidR="00933120" w:rsidRPr="00427529">
        <w:t xml:space="preserve"> Ni(III) </w:t>
      </w:r>
      <w:r w:rsidR="00AF1311">
        <w:t>[</w:t>
      </w:r>
      <w:r w:rsidR="001236D7">
        <w:t>3</w:t>
      </w:r>
      <w:bookmarkStart w:id="0" w:name="_GoBack"/>
      <w:bookmarkEnd w:id="0"/>
      <w:r w:rsidRPr="00427529">
        <w:rPr>
          <w:i/>
        </w:rPr>
        <w:t>d</w:t>
      </w:r>
      <w:r w:rsidRPr="00427529">
        <w:rPr>
          <w:i/>
          <w:vertAlign w:val="superscript"/>
        </w:rPr>
        <w:t>7</w:t>
      </w:r>
      <w:r w:rsidRPr="00427529">
        <w:t xml:space="preserve"> LS </w:t>
      </w:r>
      <m:oMath>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2g</m:t>
            </m:r>
          </m:sub>
          <m:sup>
            <m:r>
              <w:rPr>
                <w:rFonts w:ascii="Cambria Math" w:hAnsi="Cambria Math"/>
              </w:rPr>
              <m:t>5</m:t>
            </m:r>
          </m:sup>
        </m:sSubSup>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2</m:t>
            </m:r>
          </m:sup>
        </m:sSubSup>
        <m:r>
          <w:rPr>
            <w:rFonts w:ascii="Cambria Math" w:hAnsi="Cambria Math"/>
          </w:rPr>
          <m:t xml:space="preserve"> )]</m:t>
        </m:r>
      </m:oMath>
      <w:r w:rsidRPr="00427529">
        <w:t xml:space="preserve"> </w:t>
      </w:r>
      <w:r w:rsidR="00933120" w:rsidRPr="00427529">
        <w:t>will</w:t>
      </w:r>
      <w:r w:rsidRPr="00427529">
        <w:t xml:space="preserve"> replace </w:t>
      </w:r>
      <w:r w:rsidR="005D57ED" w:rsidRPr="00427529">
        <w:t xml:space="preserve">some </w:t>
      </w:r>
      <w:r w:rsidR="00933120" w:rsidRPr="00427529">
        <w:t>Co(III)-LS ions; see below for further discussion of electronic states of Co- and Ni-ions in the solid solution phase.</w:t>
      </w:r>
    </w:p>
    <w:p w:rsidR="00DE4E93" w:rsidRPr="00427529" w:rsidRDefault="00DE4E93" w:rsidP="00DE4E93">
      <w:pPr>
        <w:spacing w:after="100"/>
        <w:jc w:val="center"/>
      </w:pPr>
      <w:r>
        <w:rPr>
          <w:b/>
          <w:i/>
          <w:noProof/>
          <w:lang w:val="en-US" w:eastAsia="zh-CN"/>
        </w:rPr>
        <w:lastRenderedPageBreak/>
        <w:drawing>
          <wp:inline distT="0" distB="0" distL="0" distR="0" wp14:anchorId="00976A11" wp14:editId="4BCCBE48">
            <wp:extent cx="5391785" cy="2070100"/>
            <wp:effectExtent l="0" t="0" r="0" b="0"/>
            <wp:docPr id="15" name="Picture 15" descr="C:\Users\mariusun\Downloads\Picture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usun\Downloads\Picture6.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785" cy="2070100"/>
                    </a:xfrm>
                    <a:prstGeom prst="rect">
                      <a:avLst/>
                    </a:prstGeom>
                    <a:noFill/>
                    <a:ln>
                      <a:noFill/>
                    </a:ln>
                  </pic:spPr>
                </pic:pic>
              </a:graphicData>
            </a:graphic>
          </wp:inline>
        </w:drawing>
      </w:r>
    </w:p>
    <w:p w:rsidR="00C2220C" w:rsidRPr="00427529" w:rsidRDefault="00C2220C" w:rsidP="00D53DF3">
      <w:pPr>
        <w:pStyle w:val="Figurecaption"/>
      </w:pPr>
      <w:proofErr w:type="gramStart"/>
      <w:r w:rsidRPr="00427529">
        <w:rPr>
          <w:b/>
        </w:rPr>
        <w:t xml:space="preserve">Figure </w:t>
      </w:r>
      <w:r w:rsidR="00BA235A">
        <w:rPr>
          <w:b/>
        </w:rPr>
        <w:t>6</w:t>
      </w:r>
      <w:r w:rsidRPr="00427529">
        <w:rPr>
          <w:b/>
        </w:rPr>
        <w:t>.</w:t>
      </w:r>
      <w:proofErr w:type="gramEnd"/>
      <w:r w:rsidRPr="00427529">
        <w:t xml:space="preserve"> Left; temperature dependence of the magnetic susceptibility </w:t>
      </w:r>
      <w:proofErr w:type="spellStart"/>
      <w:proofErr w:type="gramStart"/>
      <w:r w:rsidRPr="00427529">
        <w:t>χ</w:t>
      </w:r>
      <w:r w:rsidRPr="00427529">
        <w:rPr>
          <w:vertAlign w:val="subscript"/>
        </w:rPr>
        <w:t>m</w:t>
      </w:r>
      <w:proofErr w:type="spellEnd"/>
      <w:r w:rsidRPr="00427529">
        <w:t>(</w:t>
      </w:r>
      <w:proofErr w:type="gramEnd"/>
      <w:r w:rsidRPr="00427529">
        <w:t>T) for La</w:t>
      </w:r>
      <w:r w:rsidRPr="00427529">
        <w:rPr>
          <w:vertAlign w:val="subscript"/>
        </w:rPr>
        <w:t>4</w:t>
      </w:r>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vertAlign w:val="subscript"/>
        </w:rPr>
        <w:t>x</w:t>
      </w:r>
      <w:proofErr w:type="spellEnd"/>
      <w:r w:rsidRPr="00427529">
        <w:t>)</w:t>
      </w:r>
      <w:r w:rsidRPr="00427529">
        <w:rPr>
          <w:vertAlign w:val="subscript"/>
        </w:rPr>
        <w:t>3</w:t>
      </w:r>
      <w:r w:rsidRPr="00427529">
        <w:t>O</w:t>
      </w:r>
      <w:r w:rsidRPr="00427529">
        <w:rPr>
          <w:vertAlign w:val="subscript"/>
        </w:rPr>
        <w:t>10</w:t>
      </w:r>
      <w:r w:rsidRPr="00427529">
        <w:t xml:space="preserve"> 0.00 ≤ </w:t>
      </w:r>
      <w:r w:rsidRPr="00427529">
        <w:rPr>
          <w:i/>
        </w:rPr>
        <w:t>x</w:t>
      </w:r>
      <w:r w:rsidRPr="00427529">
        <w:t xml:space="preserve"> ≤ 1.00; </w:t>
      </w:r>
      <w:r w:rsidRPr="00427529">
        <w:rPr>
          <w:i/>
        </w:rPr>
        <w:t>x</w:t>
      </w:r>
      <w:r w:rsidRPr="00427529">
        <w:t xml:space="preserve"> compositions are </w:t>
      </w:r>
      <w:r w:rsidRPr="00427529">
        <w:rPr>
          <w:i/>
        </w:rPr>
        <w:t>x</w:t>
      </w:r>
      <w:r w:rsidRPr="00427529">
        <w:t xml:space="preserve"> = 0.00S, 0.00L, 0.20, 0.25, 0.33, 0.50, 0.67, 0.72, 0.80, and 1.00; insert shows χ</w:t>
      </w:r>
      <w:r w:rsidR="005D57ED" w:rsidRPr="00427529">
        <w:rPr>
          <w:vertAlign w:val="superscript"/>
        </w:rPr>
        <w:t>−</w:t>
      </w:r>
      <w:r w:rsidRPr="00427529">
        <w:rPr>
          <w:vertAlign w:val="superscript"/>
        </w:rPr>
        <w:t>1</w:t>
      </w:r>
      <w:r w:rsidRPr="00427529">
        <w:t xml:space="preserve">(T). Right; </w:t>
      </w:r>
      <w:proofErr w:type="gramStart"/>
      <w:r w:rsidRPr="00427529">
        <w:rPr>
          <w:i/>
        </w:rPr>
        <w:t>M(</w:t>
      </w:r>
      <w:proofErr w:type="gramEnd"/>
      <w:r w:rsidRPr="00427529">
        <w:rPr>
          <w:i/>
        </w:rPr>
        <w:t>H)</w:t>
      </w:r>
      <w:r w:rsidRPr="00427529">
        <w:t xml:space="preserve"> data for fields up to 9</w:t>
      </w:r>
      <w:r w:rsidR="00C031E2" w:rsidRPr="00427529">
        <w:t xml:space="preserve"> </w:t>
      </w:r>
      <w:r w:rsidRPr="00427529">
        <w:t xml:space="preserve">T </w:t>
      </w:r>
      <w:r w:rsidR="00761791">
        <w:t xml:space="preserve">at a temperature of </w:t>
      </w:r>
      <w:r w:rsidR="005061D0">
        <w:t>4</w:t>
      </w:r>
      <w:r w:rsidR="00761791">
        <w:t xml:space="preserve"> K </w:t>
      </w:r>
      <w:r w:rsidRPr="00427529">
        <w:t xml:space="preserve">for all concentrations except </w:t>
      </w:r>
      <w:r w:rsidRPr="00427529">
        <w:rPr>
          <w:i/>
        </w:rPr>
        <w:t>x</w:t>
      </w:r>
      <w:r w:rsidRPr="00427529">
        <w:t xml:space="preserve"> = </w:t>
      </w:r>
      <w:r w:rsidR="00417559" w:rsidRPr="00427529">
        <w:t xml:space="preserve">0.80 </w:t>
      </w:r>
      <w:r w:rsidR="00761791">
        <w:t>to</w:t>
      </w:r>
      <w:r w:rsidR="00761791" w:rsidRPr="00427529">
        <w:t xml:space="preserve"> </w:t>
      </w:r>
      <w:r w:rsidR="00417559" w:rsidRPr="00427529">
        <w:t>1.00.</w:t>
      </w:r>
    </w:p>
    <w:p w:rsidR="008D103A" w:rsidRPr="00427529" w:rsidRDefault="008D103A" w:rsidP="00C2220C">
      <w:pPr>
        <w:spacing w:after="100"/>
        <w:jc w:val="both"/>
      </w:pPr>
    </w:p>
    <w:p w:rsidR="00C2220C" w:rsidRPr="00427529" w:rsidRDefault="000164AB" w:rsidP="00C2220C">
      <w:pPr>
        <w:spacing w:after="100"/>
        <w:jc w:val="both"/>
      </w:pPr>
      <w:r w:rsidRPr="00427529">
        <w:t xml:space="preserve">The second </w:t>
      </w:r>
      <w:r w:rsidR="00034A3F" w:rsidRPr="00427529">
        <w:t>CW region</w:t>
      </w:r>
      <w:r w:rsidRPr="00427529">
        <w:t xml:space="preserve"> </w:t>
      </w:r>
      <w:r w:rsidR="00C2220C" w:rsidRPr="00427529">
        <w:t>at low temperature (</w:t>
      </w:r>
      <w:r w:rsidR="00034A3F" w:rsidRPr="00427529">
        <w:t>10</w:t>
      </w:r>
      <w:r w:rsidR="005D57ED" w:rsidRPr="00427529">
        <w:t xml:space="preserve"> K</w:t>
      </w:r>
      <w:r w:rsidR="00C2220C" w:rsidRPr="00427529">
        <w:t xml:space="preserve"> – 80</w:t>
      </w:r>
      <w:r w:rsidR="00034A3F" w:rsidRPr="00427529">
        <w:t xml:space="preserve"> </w:t>
      </w:r>
      <w:r w:rsidR="00C2220C" w:rsidRPr="00427529">
        <w:t>K)</w:t>
      </w:r>
      <w:r w:rsidR="00034A3F" w:rsidRPr="00427529">
        <w:t xml:space="preserve"> for La</w:t>
      </w:r>
      <w:r w:rsidR="00034A3F" w:rsidRPr="00427529">
        <w:rPr>
          <w:vertAlign w:val="subscript"/>
        </w:rPr>
        <w:t>4</w:t>
      </w:r>
      <w:r w:rsidR="00034A3F" w:rsidRPr="00427529">
        <w:t>Co</w:t>
      </w:r>
      <w:r w:rsidR="00034A3F" w:rsidRPr="00427529">
        <w:rPr>
          <w:vertAlign w:val="subscript"/>
        </w:rPr>
        <w:t>3</w:t>
      </w:r>
      <w:r w:rsidR="00034A3F" w:rsidRPr="00427529">
        <w:t>O</w:t>
      </w:r>
      <w:r w:rsidR="00034A3F" w:rsidRPr="00427529">
        <w:rPr>
          <w:vertAlign w:val="subscript"/>
        </w:rPr>
        <w:t>10</w:t>
      </w:r>
      <w:r w:rsidR="00034A3F" w:rsidRPr="00427529">
        <w:t xml:space="preserve"> </w:t>
      </w:r>
      <w:r w:rsidR="00BD52F3" w:rsidRPr="00427529">
        <w:t>has a lower</w:t>
      </w:r>
      <w:r w:rsidR="008F4776" w:rsidRPr="00427529">
        <w:t xml:space="preserve"> effective magnetic moment of </w:t>
      </w:r>
      <w:proofErr w:type="spellStart"/>
      <w:r w:rsidR="008F4776" w:rsidRPr="00427529">
        <w:t>μ</w:t>
      </w:r>
      <w:r w:rsidR="008F4776" w:rsidRPr="00427529">
        <w:rPr>
          <w:vertAlign w:val="subscript"/>
        </w:rPr>
        <w:t>eff</w:t>
      </w:r>
      <w:proofErr w:type="spellEnd"/>
      <w:r w:rsidR="008F4776" w:rsidRPr="00427529">
        <w:t xml:space="preserve"> = 4.4 </w:t>
      </w:r>
      <w:proofErr w:type="spellStart"/>
      <w:r w:rsidR="008F4776" w:rsidRPr="00427529">
        <w:t>μ</w:t>
      </w:r>
      <w:r w:rsidR="00BD52F3" w:rsidRPr="00427529">
        <w:rPr>
          <w:vertAlign w:val="subscript"/>
        </w:rPr>
        <w:t>B</w:t>
      </w:r>
      <w:proofErr w:type="spellEnd"/>
      <w:r w:rsidR="00BD52F3" w:rsidRPr="00427529">
        <w:rPr>
          <w:vertAlign w:val="subscript"/>
        </w:rPr>
        <w:t xml:space="preserve">, </w:t>
      </w:r>
      <w:r w:rsidR="00BD52F3" w:rsidRPr="00427529">
        <w:t>still within the range expected for</w:t>
      </w:r>
      <w:r w:rsidR="008F4776" w:rsidRPr="00427529">
        <w:t xml:space="preserve"> </w:t>
      </w:r>
      <w:proofErr w:type="gramStart"/>
      <w:r w:rsidR="008F4776" w:rsidRPr="00427529">
        <w:t>Co(</w:t>
      </w:r>
      <w:proofErr w:type="gramEnd"/>
      <w:r w:rsidR="008F4776" w:rsidRPr="00427529">
        <w:t>II)</w:t>
      </w:r>
      <w:r w:rsidR="00BD52F3" w:rsidRPr="00427529">
        <w:t>.</w:t>
      </w:r>
      <w:r w:rsidR="00C2220C" w:rsidRPr="00427529">
        <w:t xml:space="preserve"> Upon </w:t>
      </w:r>
      <w:r w:rsidR="005875EF" w:rsidRPr="00427529">
        <w:t xml:space="preserve">further </w:t>
      </w:r>
      <w:r w:rsidR="00C2220C" w:rsidRPr="00427529">
        <w:t xml:space="preserve">cooling, the ZFC and FC curves gradually peak at </w:t>
      </w:r>
      <w:r w:rsidR="00C2220C" w:rsidRPr="00427529">
        <w:rPr>
          <w:i/>
        </w:rPr>
        <w:t>T</w:t>
      </w:r>
      <w:r w:rsidR="00C2220C" w:rsidRPr="00427529">
        <w:rPr>
          <w:i/>
          <w:vertAlign w:val="subscript"/>
        </w:rPr>
        <w:t>N</w:t>
      </w:r>
      <w:r w:rsidR="00C2220C" w:rsidRPr="00427529">
        <w:rPr>
          <w:vertAlign w:val="subscript"/>
        </w:rPr>
        <w:t xml:space="preserve">  </w:t>
      </w:r>
      <w:r w:rsidR="00C2220C" w:rsidRPr="00427529">
        <w:t>≈ 1</w:t>
      </w:r>
      <w:r w:rsidR="005061D0">
        <w:t>3</w:t>
      </w:r>
      <w:r w:rsidR="00C2220C" w:rsidRPr="00427529">
        <w:t xml:space="preserve"> K marking onset of antiferromagnetic order (AF-1), Figure </w:t>
      </w:r>
      <w:r w:rsidR="00BA235A">
        <w:t>6</w:t>
      </w:r>
      <w:r w:rsidR="00BD52F3" w:rsidRPr="00427529">
        <w:t>,</w:t>
      </w:r>
      <w:r w:rsidR="00C2220C" w:rsidRPr="00427529">
        <w:t xml:space="preserve"> in accordance with </w:t>
      </w:r>
      <w:proofErr w:type="spellStart"/>
      <w:r w:rsidR="00311C7F" w:rsidRPr="00427529">
        <w:t>Hansteen</w:t>
      </w:r>
      <w:proofErr w:type="spellEnd"/>
      <w:r w:rsidR="00311C7F" w:rsidRPr="00427529">
        <w:t xml:space="preserve"> </w:t>
      </w:r>
      <w:r w:rsidR="00311C7F" w:rsidRPr="00C474D4">
        <w:rPr>
          <w:i/>
        </w:rPr>
        <w:t>et al.</w:t>
      </w:r>
      <w:r w:rsidR="00BD52F3" w:rsidRPr="00427529">
        <w:t>[</w:t>
      </w:r>
      <w:r w:rsidR="006635CE" w:rsidRPr="00427529">
        <w:t>3,</w:t>
      </w:r>
      <w:r w:rsidR="00294374" w:rsidRPr="00427529">
        <w:t>2</w:t>
      </w:r>
      <w:r w:rsidR="00557B04">
        <w:t>5</w:t>
      </w:r>
      <w:r w:rsidR="008B1ECC" w:rsidRPr="00427529">
        <w:t>]</w:t>
      </w:r>
      <w:r w:rsidR="00C2220C" w:rsidRPr="00427529">
        <w:t xml:space="preserve"> </w:t>
      </w:r>
      <w:r w:rsidR="00BD52F3" w:rsidRPr="00427529">
        <w:t xml:space="preserve">and </w:t>
      </w:r>
      <w:r w:rsidR="00C2220C" w:rsidRPr="00427529">
        <w:t>supported by current AC magnetization data</w:t>
      </w:r>
      <w:r w:rsidR="00BD52F3" w:rsidRPr="00427529">
        <w:t xml:space="preserve">. </w:t>
      </w:r>
      <w:r w:rsidR="002C417A" w:rsidRPr="00427529">
        <w:t>Importantly, the</w:t>
      </w:r>
      <w:r w:rsidR="00C2220C" w:rsidRPr="00427529">
        <w:t xml:space="preserve"> </w:t>
      </w:r>
      <w:proofErr w:type="gramStart"/>
      <w:r w:rsidR="00C2220C" w:rsidRPr="00427529">
        <w:rPr>
          <w:i/>
        </w:rPr>
        <w:t>M(</w:t>
      </w:r>
      <w:proofErr w:type="gramEnd"/>
      <w:r w:rsidR="00C2220C" w:rsidRPr="00427529">
        <w:rPr>
          <w:i/>
        </w:rPr>
        <w:t>H)</w:t>
      </w:r>
      <w:r w:rsidR="00C2220C" w:rsidRPr="00427529">
        <w:t xml:space="preserve"> data</w:t>
      </w:r>
      <w:r w:rsidR="00720B83" w:rsidRPr="00427529">
        <w:t xml:space="preserve"> in</w:t>
      </w:r>
      <w:r w:rsidR="00C2220C" w:rsidRPr="00427529">
        <w:t xml:space="preserve"> Figure </w:t>
      </w:r>
      <w:r w:rsidR="00BA235A">
        <w:t>6</w:t>
      </w:r>
      <w:r w:rsidR="00C2220C" w:rsidRPr="00427529">
        <w:t xml:space="preserve"> </w:t>
      </w:r>
      <w:r w:rsidR="002C417A" w:rsidRPr="00427529">
        <w:t xml:space="preserve">show </w:t>
      </w:r>
      <w:r w:rsidR="00C2220C" w:rsidRPr="00427529">
        <w:t xml:space="preserve">a </w:t>
      </w:r>
      <w:r w:rsidR="002C417A" w:rsidRPr="00427529">
        <w:t>field induced</w:t>
      </w:r>
      <w:r w:rsidR="00C2220C" w:rsidRPr="00427529">
        <w:t xml:space="preserve"> transition from the AF-1 to a ferromagnetic FM state</w:t>
      </w:r>
      <w:r w:rsidR="002C417A" w:rsidRPr="00427529">
        <w:t xml:space="preserve"> and saturation in high fields. </w:t>
      </w:r>
      <w:r w:rsidR="00C2220C" w:rsidRPr="00427529">
        <w:t xml:space="preserve"> The</w:t>
      </w:r>
      <w:r w:rsidR="00BD52F3" w:rsidRPr="00427529">
        <w:t xml:space="preserve"> ordered magnetic moment per formula unit</w:t>
      </w:r>
      <w:r w:rsidR="00C2220C" w:rsidRPr="00427529">
        <w:t xml:space="preserve"> is estimated as 2.7 </w:t>
      </w:r>
      <w:r w:rsidR="00C2220C" w:rsidRPr="00427529">
        <w:rPr>
          <w:rFonts w:ascii="Symbol" w:hAnsi="Symbol"/>
        </w:rPr>
        <w:t></w:t>
      </w:r>
      <w:r w:rsidR="00C2220C" w:rsidRPr="00427529">
        <w:rPr>
          <w:vertAlign w:val="subscript"/>
        </w:rPr>
        <w:t>B</w:t>
      </w:r>
      <w:r w:rsidR="00C2220C" w:rsidRPr="00427529">
        <w:t xml:space="preserve"> based on the saturation magnetization at </w:t>
      </w:r>
      <w:r w:rsidR="005061D0">
        <w:t>4</w:t>
      </w:r>
      <w:r w:rsidR="00C2220C" w:rsidRPr="00427529">
        <w:t xml:space="preserve"> K. Anticipating that the m</w:t>
      </w:r>
      <w:r w:rsidR="00720B83" w:rsidRPr="00427529">
        <w:t xml:space="preserve">oment is entirely attributed to </w:t>
      </w:r>
      <w:proofErr w:type="gramStart"/>
      <w:r w:rsidR="00C2220C" w:rsidRPr="00427529">
        <w:t>Co(</w:t>
      </w:r>
      <w:proofErr w:type="gramEnd"/>
      <w:r w:rsidR="00C2220C" w:rsidRPr="00427529">
        <w:t xml:space="preserve">II), this implies a moment of 2.7 </w:t>
      </w:r>
      <w:r w:rsidR="00C2220C" w:rsidRPr="00427529">
        <w:rPr>
          <w:rFonts w:ascii="Symbol" w:hAnsi="Symbol"/>
        </w:rPr>
        <w:t></w:t>
      </w:r>
      <w:r w:rsidR="00C2220C" w:rsidRPr="00427529">
        <w:rPr>
          <w:vertAlign w:val="subscript"/>
        </w:rPr>
        <w:t>B</w:t>
      </w:r>
      <w:r w:rsidR="00C2220C" w:rsidRPr="00427529">
        <w:t xml:space="preserve"> per Co(II) atom. </w:t>
      </w:r>
      <w:r w:rsidR="00BC301C" w:rsidRPr="00427529">
        <w:t xml:space="preserve">Interestingly, similar yet weaker features are observed for </w:t>
      </w:r>
      <w:r w:rsidR="00BC301C" w:rsidRPr="00427529">
        <w:rPr>
          <w:i/>
        </w:rPr>
        <w:t>x</w:t>
      </w:r>
      <w:r w:rsidR="00BC301C" w:rsidRPr="00427529">
        <w:t xml:space="preserve"> = 0.25, see Figure </w:t>
      </w:r>
      <w:r w:rsidR="00BA235A">
        <w:t>6</w:t>
      </w:r>
      <w:r w:rsidR="00720B83" w:rsidRPr="00427529">
        <w:t xml:space="preserve">, </w:t>
      </w:r>
      <w:r w:rsidR="00B85C0D">
        <w:t xml:space="preserve">where </w:t>
      </w:r>
      <w:r w:rsidR="00720B83" w:rsidRPr="00427529">
        <w:t xml:space="preserve">saturation magnetizations </w:t>
      </w:r>
      <w:r w:rsidR="000B33B3">
        <w:t>gives</w:t>
      </w:r>
      <w:r w:rsidR="00B85C0D">
        <w:t xml:space="preserve"> </w:t>
      </w:r>
      <w:r w:rsidR="005061D0">
        <w:t>2.3</w:t>
      </w:r>
      <w:r w:rsidR="00720B83" w:rsidRPr="00427529">
        <w:t xml:space="preserve"> </w:t>
      </w:r>
      <w:r w:rsidR="00720B83" w:rsidRPr="00427529">
        <w:rPr>
          <w:rFonts w:ascii="Symbol" w:hAnsi="Symbol"/>
        </w:rPr>
        <w:t></w:t>
      </w:r>
      <w:r w:rsidR="00720B83" w:rsidRPr="00427529">
        <w:rPr>
          <w:vertAlign w:val="subscript"/>
        </w:rPr>
        <w:t>B</w:t>
      </w:r>
      <w:r w:rsidR="00B85C0D" w:rsidRPr="00B85C0D">
        <w:t xml:space="preserve"> per formula unit</w:t>
      </w:r>
      <w:r w:rsidR="00720B83" w:rsidRPr="00427529">
        <w:t>.</w:t>
      </w:r>
    </w:p>
    <w:p w:rsidR="00C2220C" w:rsidRPr="00427529" w:rsidRDefault="00623C6F" w:rsidP="00C2220C">
      <w:pPr>
        <w:spacing w:after="100"/>
        <w:jc w:val="both"/>
      </w:pPr>
      <w:r w:rsidRPr="00427529">
        <w:t>The current study on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t xml:space="preserve"> complies with </w:t>
      </w:r>
      <w:r w:rsidR="00C2220C" w:rsidRPr="00427529">
        <w:t xml:space="preserve">weak Pauli paramagnetism and metallic behaviour </w:t>
      </w:r>
      <w:r w:rsidRPr="00427529">
        <w:t>below 300 K</w:t>
      </w:r>
      <w:proofErr w:type="gramStart"/>
      <w:r w:rsidRPr="00427529">
        <w:t>.</w:t>
      </w:r>
      <w:r w:rsidR="00C2220C" w:rsidRPr="00427529">
        <w:t>[</w:t>
      </w:r>
      <w:proofErr w:type="gramEnd"/>
      <w:r w:rsidR="00C2220C" w:rsidRPr="00427529">
        <w:t xml:space="preserve">7] </w:t>
      </w:r>
      <w:r w:rsidRPr="00427529">
        <w:t>Weak</w:t>
      </w:r>
      <w:r w:rsidR="00C2220C" w:rsidRPr="00427529">
        <w:t xml:space="preserve"> additional features such as an inflection point at 160 K and a resistivity minimum at 140 K</w:t>
      </w:r>
      <w:r w:rsidRPr="00427529">
        <w:t xml:space="preserve"> are reported</w:t>
      </w:r>
      <w:r w:rsidR="00C2220C" w:rsidRPr="00427529">
        <w:t>.[8,</w:t>
      </w:r>
      <w:r w:rsidR="00294374" w:rsidRPr="00427529">
        <w:t>2</w:t>
      </w:r>
      <w:r w:rsidR="00557B04">
        <w:t>6</w:t>
      </w:r>
      <w:r w:rsidR="00C2220C" w:rsidRPr="00427529">
        <w:t xml:space="preserve">] </w:t>
      </w:r>
      <w:r w:rsidRPr="00427529">
        <w:t xml:space="preserve">After noise reduction, we </w:t>
      </w:r>
      <w:r w:rsidRPr="00427529">
        <w:lastRenderedPageBreak/>
        <w:t>observe as very faint features a ZFC minimum at 90 K and a drop in susceptibility at 112 K.</w:t>
      </w:r>
      <w:r w:rsidRPr="00427529">
        <w:rPr>
          <w:color w:val="FF0000"/>
        </w:rPr>
        <w:t xml:space="preserve"> </w:t>
      </w:r>
      <w:r w:rsidR="00C2220C" w:rsidRPr="00427529">
        <w:t xml:space="preserve">The conductivity is explained in terms of oxygen </w:t>
      </w:r>
      <w:r w:rsidR="00C2220C" w:rsidRPr="00427529">
        <w:rPr>
          <w:i/>
        </w:rPr>
        <w:t>2p</w:t>
      </w:r>
      <w:r w:rsidR="00C2220C" w:rsidRPr="00427529">
        <w:rPr>
          <w:i/>
          <w:vertAlign w:val="subscript"/>
        </w:rPr>
        <w:t>σ</w:t>
      </w:r>
      <w:r w:rsidR="00C2220C" w:rsidRPr="00427529">
        <w:t xml:space="preserve"> and the nickel </w:t>
      </w:r>
      <w:r w:rsidR="00C2220C" w:rsidRPr="00427529">
        <w:rPr>
          <w:i/>
        </w:rPr>
        <w:t>3d</w:t>
      </w:r>
      <w:r w:rsidR="00C2220C" w:rsidRPr="00427529">
        <w:t xml:space="preserve"> states (</w:t>
      </w:r>
      <w:r w:rsidR="00C2220C" w:rsidRPr="00427529">
        <w:rPr>
          <w:i/>
        </w:rPr>
        <w:t>2p</w:t>
      </w:r>
      <w:r w:rsidR="00C2220C" w:rsidRPr="00427529">
        <w:rPr>
          <w:i/>
          <w:vertAlign w:val="subscript"/>
        </w:rPr>
        <w:t>σ</w:t>
      </w:r>
      <w:r w:rsidR="00C2220C" w:rsidRPr="00427529">
        <w:rPr>
          <w:i/>
        </w:rPr>
        <w:t>-e</w:t>
      </w:r>
      <w:r w:rsidR="00C2220C" w:rsidRPr="00427529">
        <w:rPr>
          <w:i/>
          <w:vertAlign w:val="subscript"/>
        </w:rPr>
        <w:t>g</w:t>
      </w:r>
      <w:r w:rsidR="00C2220C" w:rsidRPr="00427529">
        <w:t xml:space="preserve"> bonding and </w:t>
      </w:r>
      <w:proofErr w:type="spellStart"/>
      <w:r w:rsidR="00C2220C" w:rsidRPr="00427529">
        <w:t>antibonding</w:t>
      </w:r>
      <w:proofErr w:type="spellEnd"/>
      <w:r w:rsidR="00C2220C" w:rsidRPr="00427529">
        <w:t>).[</w:t>
      </w:r>
      <w:r w:rsidR="00294374" w:rsidRPr="00427529">
        <w:t>2</w:t>
      </w:r>
      <w:r w:rsidR="00557B04">
        <w:t>7</w:t>
      </w:r>
      <w:r w:rsidR="00C2220C" w:rsidRPr="00427529">
        <w:t xml:space="preserve">] It has been proposed that the triple </w:t>
      </w:r>
      <w:proofErr w:type="spellStart"/>
      <w:r w:rsidR="00C2220C" w:rsidRPr="00427529">
        <w:t>perovskite</w:t>
      </w:r>
      <w:proofErr w:type="spellEnd"/>
      <w:r w:rsidR="00C2220C" w:rsidRPr="00427529">
        <w:t xml:space="preserve"> slabs in La</w:t>
      </w:r>
      <w:r w:rsidR="00C2220C" w:rsidRPr="00427529">
        <w:rPr>
          <w:vertAlign w:val="subscript"/>
        </w:rPr>
        <w:t>4</w:t>
      </w:r>
      <w:r w:rsidR="00C2220C" w:rsidRPr="00427529">
        <w:t>Ni</w:t>
      </w:r>
      <w:r w:rsidR="00C2220C" w:rsidRPr="00427529">
        <w:rPr>
          <w:vertAlign w:val="subscript"/>
        </w:rPr>
        <w:t>3</w:t>
      </w:r>
      <w:r w:rsidR="00C2220C" w:rsidRPr="00427529">
        <w:t>O</w:t>
      </w:r>
      <w:r w:rsidR="00C2220C" w:rsidRPr="00427529">
        <w:rPr>
          <w:vertAlign w:val="subscript"/>
        </w:rPr>
        <w:t>10</w:t>
      </w:r>
      <w:r w:rsidR="00C2220C" w:rsidRPr="00427529">
        <w:t xml:space="preserve"> may be described in terms of </w:t>
      </w:r>
      <w:r w:rsidR="001B2E1F" w:rsidRPr="00427529">
        <w:t xml:space="preserve">Ni(III) </w:t>
      </w:r>
      <w:r w:rsidR="00C2220C" w:rsidRPr="00427529">
        <w:t xml:space="preserve">layers sandwiching a central </w:t>
      </w:r>
      <w:r w:rsidR="00C07E6B" w:rsidRPr="00427529">
        <w:t>Ni(I</w:t>
      </w:r>
      <w:r w:rsidR="001B2E1F" w:rsidRPr="00427529">
        <w:t xml:space="preserve">I) </w:t>
      </w:r>
      <w:r w:rsidR="00C2220C" w:rsidRPr="00427529">
        <w:t xml:space="preserve">layer. The current PND data provides no support for </w:t>
      </w:r>
      <w:r w:rsidRPr="00427529">
        <w:t>any such Ni-charge ordering, and our b</w:t>
      </w:r>
      <w:r w:rsidR="00C2220C" w:rsidRPr="00427529">
        <w:t xml:space="preserve">ond valence calculations show no significant </w:t>
      </w:r>
      <w:r w:rsidR="00AF150D" w:rsidRPr="00427529">
        <w:t>differences</w:t>
      </w:r>
      <w:r w:rsidR="00C2220C" w:rsidRPr="00427529">
        <w:t xml:space="preserve"> between the four non-equivalent Co/Ni-atoms. </w:t>
      </w:r>
    </w:p>
    <w:p w:rsidR="008D4A5B" w:rsidRPr="00427529" w:rsidRDefault="00CF34E1" w:rsidP="00CF34E1">
      <w:pPr>
        <w:spacing w:after="100"/>
        <w:jc w:val="both"/>
      </w:pPr>
      <w:r w:rsidRPr="00427529">
        <w:t>The</w:t>
      </w:r>
      <w:r w:rsidR="005875EF" w:rsidRPr="00427529">
        <w:t xml:space="preserve"> </w:t>
      </w:r>
      <w:r w:rsidRPr="00427529">
        <w:t>samples</w:t>
      </w:r>
      <w:r w:rsidR="005875EF" w:rsidRPr="00427529">
        <w:t xml:space="preserve"> 0.20 </w:t>
      </w:r>
      <w:r w:rsidRPr="00427529">
        <w:t>&lt;</w:t>
      </w:r>
      <w:r w:rsidR="005875EF" w:rsidRPr="00427529">
        <w:t xml:space="preserve"> </w:t>
      </w:r>
      <w:r w:rsidR="005875EF" w:rsidRPr="00427529">
        <w:rPr>
          <w:i/>
        </w:rPr>
        <w:t>x</w:t>
      </w:r>
      <w:r w:rsidR="005875EF" w:rsidRPr="00427529">
        <w:t xml:space="preserve"> </w:t>
      </w:r>
      <w:r w:rsidR="006635CE" w:rsidRPr="00427529">
        <w:t>≤</w:t>
      </w:r>
      <w:r w:rsidR="005875EF" w:rsidRPr="00427529">
        <w:t xml:space="preserve"> 1.00 do no</w:t>
      </w:r>
      <w:r w:rsidR="00EE3BE2">
        <w:t>t</w:t>
      </w:r>
      <w:r w:rsidR="005875EF" w:rsidRPr="00427529">
        <w:t xml:space="preserve"> follow </w:t>
      </w:r>
      <w:r w:rsidRPr="00427529">
        <w:t xml:space="preserve">the </w:t>
      </w:r>
      <w:r w:rsidR="005875EF" w:rsidRPr="00427529">
        <w:t xml:space="preserve">Curie-Weiss law in </w:t>
      </w:r>
      <w:r w:rsidR="0044337A" w:rsidRPr="00427529">
        <w:t>the 10</w:t>
      </w:r>
      <w:r w:rsidR="005D57ED" w:rsidRPr="00427529">
        <w:t xml:space="preserve"> K</w:t>
      </w:r>
      <w:r w:rsidR="0044337A" w:rsidRPr="00427529">
        <w:t xml:space="preserve"> – 80 K </w:t>
      </w:r>
      <w:r w:rsidR="005875EF" w:rsidRPr="00427529">
        <w:t xml:space="preserve">temperature </w:t>
      </w:r>
      <w:r w:rsidR="00C07E6B" w:rsidRPr="00427529">
        <w:t>range</w:t>
      </w:r>
      <w:r w:rsidRPr="00427529">
        <w:t>.</w:t>
      </w:r>
      <w:r w:rsidR="005875EF" w:rsidRPr="00427529">
        <w:t xml:space="preserve"> </w:t>
      </w:r>
      <w:r w:rsidRPr="00427529">
        <w:t xml:space="preserve">On </w:t>
      </w:r>
      <w:r w:rsidR="00C2220C" w:rsidRPr="00427529">
        <w:t>introducing nickel into La</w:t>
      </w:r>
      <w:r w:rsidR="00C2220C" w:rsidRPr="00427529">
        <w:rPr>
          <w:vertAlign w:val="subscript"/>
        </w:rPr>
        <w:t>4</w:t>
      </w:r>
      <w:r w:rsidR="00C2220C" w:rsidRPr="00427529">
        <w:t>Co</w:t>
      </w:r>
      <w:r w:rsidR="00C2220C" w:rsidRPr="00427529">
        <w:rPr>
          <w:vertAlign w:val="subscript"/>
        </w:rPr>
        <w:t>3</w:t>
      </w:r>
      <w:r w:rsidR="00C2220C" w:rsidRPr="00427529">
        <w:t>O</w:t>
      </w:r>
      <w:r w:rsidR="00C2220C" w:rsidRPr="00427529">
        <w:rPr>
          <w:vertAlign w:val="subscript"/>
        </w:rPr>
        <w:t xml:space="preserve">10 </w:t>
      </w:r>
      <w:r w:rsidR="00C2220C" w:rsidRPr="00427529">
        <w:t xml:space="preserve">the AF-1 order vanishes and </w:t>
      </w:r>
      <w:r w:rsidR="00C2220C" w:rsidRPr="00427529">
        <w:rPr>
          <w:i/>
        </w:rPr>
        <w:t>x</w:t>
      </w:r>
      <w:r w:rsidR="00C2220C" w:rsidRPr="00427529">
        <w:t xml:space="preserve"> = 0.20 shows Curie-Weiss paramagnetism in the range 2</w:t>
      </w:r>
      <w:r w:rsidR="009B37B9" w:rsidRPr="00427529">
        <w:t xml:space="preserve"> K</w:t>
      </w:r>
      <w:r w:rsidR="00C2220C" w:rsidRPr="00427529">
        <w:t xml:space="preserve"> </w:t>
      </w:r>
      <w:r w:rsidR="00C2220C" w:rsidRPr="00427529">
        <w:sym w:font="Symbol" w:char="F02D"/>
      </w:r>
      <w:r w:rsidR="00C2220C" w:rsidRPr="00427529">
        <w:t xml:space="preserve"> 300 K. For </w:t>
      </w:r>
      <w:r w:rsidR="00C2220C" w:rsidRPr="00427529">
        <w:rPr>
          <w:i/>
        </w:rPr>
        <w:t>x</w:t>
      </w:r>
      <w:r w:rsidR="00C2220C" w:rsidRPr="00427529">
        <w:t xml:space="preserve"> = 0.25, a clear antiferromagnetic transition is observed at </w:t>
      </w:r>
      <w:r w:rsidR="00C2220C" w:rsidRPr="00427529">
        <w:rPr>
          <w:i/>
        </w:rPr>
        <w:t>T</w:t>
      </w:r>
      <w:r w:rsidR="009B37B9" w:rsidRPr="00427529">
        <w:rPr>
          <w:i/>
          <w:vertAlign w:val="subscript"/>
        </w:rPr>
        <w:t>N</w:t>
      </w:r>
      <w:r w:rsidR="00C2220C" w:rsidRPr="00427529">
        <w:rPr>
          <w:vertAlign w:val="subscript"/>
        </w:rPr>
        <w:t xml:space="preserve"> </w:t>
      </w:r>
      <w:r w:rsidR="009B37B9" w:rsidRPr="00427529">
        <w:t xml:space="preserve">= 10 K in the ZFC data </w:t>
      </w:r>
      <w:r w:rsidR="00C2220C" w:rsidRPr="00427529">
        <w:t>(AF-2). AC magnetization data show no frequency dependency</w:t>
      </w:r>
      <w:r w:rsidR="00896CC2" w:rsidRPr="00427529">
        <w:t xml:space="preserve"> at </w:t>
      </w:r>
      <w:r w:rsidR="00896CC2" w:rsidRPr="00427529">
        <w:rPr>
          <w:i/>
        </w:rPr>
        <w:t>T</w:t>
      </w:r>
      <w:r w:rsidR="009B37B9" w:rsidRPr="00427529">
        <w:rPr>
          <w:i/>
          <w:vertAlign w:val="subscript"/>
        </w:rPr>
        <w:t>N</w:t>
      </w:r>
      <w:r w:rsidR="009B37B9" w:rsidRPr="00427529">
        <w:rPr>
          <w:vertAlign w:val="subscript"/>
        </w:rPr>
        <w:t xml:space="preserve"> </w:t>
      </w:r>
      <w:r w:rsidR="00896CC2" w:rsidRPr="00427529">
        <w:t>= 10 K</w:t>
      </w:r>
      <w:r w:rsidR="00C2220C" w:rsidRPr="00427529">
        <w:t xml:space="preserve">, which otherwise could be indicative of spin-glass like situations. At </w:t>
      </w:r>
      <w:r w:rsidR="00C2220C" w:rsidRPr="00427529">
        <w:rPr>
          <w:i/>
        </w:rPr>
        <w:t>x</w:t>
      </w:r>
      <w:r w:rsidR="00C2220C" w:rsidRPr="00427529">
        <w:t xml:space="preserve"> = 0.42, the ZFC curve shows a prominent antiferromagnetic transition at </w:t>
      </w:r>
      <w:r w:rsidR="00C2220C" w:rsidRPr="00427529">
        <w:rPr>
          <w:i/>
        </w:rPr>
        <w:t>T</w:t>
      </w:r>
      <w:r w:rsidR="00C2220C" w:rsidRPr="00427529">
        <w:rPr>
          <w:i/>
          <w:vertAlign w:val="subscript"/>
        </w:rPr>
        <w:t>N</w:t>
      </w:r>
      <w:r w:rsidR="00C2220C" w:rsidRPr="00427529">
        <w:rPr>
          <w:vertAlign w:val="subscript"/>
        </w:rPr>
        <w:t xml:space="preserve"> </w:t>
      </w:r>
      <w:r w:rsidR="00C2220C" w:rsidRPr="00427529">
        <w:t xml:space="preserve">= 20 K (AF-3), Figure </w:t>
      </w:r>
      <w:r w:rsidR="00BA235A">
        <w:t>7</w:t>
      </w:r>
      <w:r w:rsidR="00C2220C" w:rsidRPr="00427529">
        <w:t xml:space="preserve">. Again AC-magnetization shows no frequency dependence. For </w:t>
      </w:r>
      <w:r w:rsidR="00C2220C" w:rsidRPr="00427529">
        <w:rPr>
          <w:i/>
        </w:rPr>
        <w:t>x</w:t>
      </w:r>
      <w:r w:rsidR="00C2220C" w:rsidRPr="00427529">
        <w:t xml:space="preserve"> = 0.47, the AF-3 transition temperature is increased to </w:t>
      </w:r>
      <w:r w:rsidR="00C2220C" w:rsidRPr="00427529">
        <w:rPr>
          <w:i/>
        </w:rPr>
        <w:t>T</w:t>
      </w:r>
      <w:r w:rsidR="00C2220C" w:rsidRPr="00427529">
        <w:rPr>
          <w:i/>
          <w:vertAlign w:val="subscript"/>
        </w:rPr>
        <w:t>N</w:t>
      </w:r>
      <w:r w:rsidR="00C2220C" w:rsidRPr="00427529">
        <w:rPr>
          <w:vertAlign w:val="subscript"/>
        </w:rPr>
        <w:t xml:space="preserve"> </w:t>
      </w:r>
      <w:r w:rsidR="00C2220C" w:rsidRPr="00427529">
        <w:t xml:space="preserve">= 30 K. For </w:t>
      </w:r>
      <w:r w:rsidR="00C2220C" w:rsidRPr="00427529">
        <w:rPr>
          <w:i/>
        </w:rPr>
        <w:t>x</w:t>
      </w:r>
      <w:r w:rsidR="00C2220C" w:rsidRPr="00427529">
        <w:t xml:space="preserve"> = 0.58, the ZFC curve shows onset of AF-3 order at </w:t>
      </w:r>
      <w:r w:rsidR="00C2220C" w:rsidRPr="00427529">
        <w:rPr>
          <w:i/>
        </w:rPr>
        <w:t>T</w:t>
      </w:r>
      <w:r w:rsidR="00C2220C" w:rsidRPr="00427529">
        <w:rPr>
          <w:i/>
          <w:vertAlign w:val="subscript"/>
        </w:rPr>
        <w:t>N</w:t>
      </w:r>
      <w:r w:rsidR="00C2220C" w:rsidRPr="00427529">
        <w:rPr>
          <w:vertAlign w:val="subscript"/>
        </w:rPr>
        <w:t xml:space="preserve"> </w:t>
      </w:r>
      <w:r w:rsidR="00C2220C" w:rsidRPr="00427529">
        <w:t xml:space="preserve">= 28 K. </w:t>
      </w:r>
    </w:p>
    <w:p w:rsidR="00C2220C" w:rsidRPr="00427529" w:rsidRDefault="00C2220C" w:rsidP="00CF34E1">
      <w:pPr>
        <w:spacing w:after="100"/>
        <w:jc w:val="both"/>
      </w:pPr>
      <w:r w:rsidRPr="00427529">
        <w:t xml:space="preserve">Powder neutron diffraction </w:t>
      </w:r>
      <w:r w:rsidR="008D4A5B" w:rsidRPr="00427529">
        <w:t xml:space="preserve">data were collected at 8 K (see above for crystallographic data). However, they </w:t>
      </w:r>
      <w:r w:rsidRPr="00427529">
        <w:t xml:space="preserve">did not reveal any magnetic reflections at 8 K for the AF-states </w:t>
      </w:r>
      <w:r w:rsidR="00C07E6B" w:rsidRPr="00427529">
        <w:t>of</w:t>
      </w:r>
      <w:r w:rsidRPr="00427529">
        <w:t xml:space="preserve"> the intermediate </w:t>
      </w:r>
      <w:r w:rsidRPr="00427529">
        <w:rPr>
          <w:i/>
        </w:rPr>
        <w:t>x</w:t>
      </w:r>
      <w:r w:rsidRPr="00427529">
        <w:t>-compositions. Hence, their ordered magnetic moments are anticipated to be less than 0.5 µ</w:t>
      </w:r>
      <w:r w:rsidRPr="00427529">
        <w:rPr>
          <w:vertAlign w:val="subscript"/>
        </w:rPr>
        <w:t>B</w:t>
      </w:r>
      <w:r w:rsidRPr="00427529">
        <w:t>/per average (Co,</w:t>
      </w:r>
      <w:r w:rsidR="00136995">
        <w:t xml:space="preserve"> </w:t>
      </w:r>
      <w:r w:rsidRPr="00427529">
        <w:t>Ni)-atom.</w:t>
      </w:r>
      <w:r w:rsidR="00BA235A">
        <w:t xml:space="preserve"> </w:t>
      </w:r>
      <w:r w:rsidR="008D4A5B" w:rsidRPr="00427529">
        <w:t>We add that also for La</w:t>
      </w:r>
      <w:r w:rsidR="008D4A5B" w:rsidRPr="00427529">
        <w:rPr>
          <w:vertAlign w:val="subscript"/>
        </w:rPr>
        <w:t>4</w:t>
      </w:r>
      <w:r w:rsidR="008D4A5B" w:rsidRPr="00427529">
        <w:t>Co</w:t>
      </w:r>
      <w:r w:rsidR="008D4A5B" w:rsidRPr="00427529">
        <w:rPr>
          <w:vertAlign w:val="subscript"/>
        </w:rPr>
        <w:t>3</w:t>
      </w:r>
      <w:r w:rsidR="008D4A5B" w:rsidRPr="00427529">
        <w:t>O</w:t>
      </w:r>
      <w:r w:rsidR="008D4A5B" w:rsidRPr="00427529">
        <w:rPr>
          <w:vertAlign w:val="subscript"/>
        </w:rPr>
        <w:t>10</w:t>
      </w:r>
      <w:r w:rsidR="008D4A5B" w:rsidRPr="00427529">
        <w:t xml:space="preserve"> the AF-reflections are quite weak in the neutron diffractions patterns, and no details are at hand</w:t>
      </w:r>
      <w:r w:rsidR="009732ED" w:rsidRPr="00427529">
        <w:t xml:space="preserve"> on the AF-1 spin orientations</w:t>
      </w:r>
      <w:proofErr w:type="gramStart"/>
      <w:r w:rsidR="009732ED" w:rsidRPr="00427529">
        <w:t>.[</w:t>
      </w:r>
      <w:proofErr w:type="gramEnd"/>
      <w:r w:rsidR="009732ED" w:rsidRPr="00427529">
        <w:t>2</w:t>
      </w:r>
      <w:r w:rsidR="00557B04">
        <w:t>5</w:t>
      </w:r>
      <w:r w:rsidR="009732ED" w:rsidRPr="00427529">
        <w:t>]</w:t>
      </w:r>
    </w:p>
    <w:p w:rsidR="00C2220C" w:rsidRPr="00427529" w:rsidRDefault="00C2220C" w:rsidP="00C2220C">
      <w:pPr>
        <w:pStyle w:val="Paragraph"/>
        <w:numPr>
          <w:ilvl w:val="1"/>
          <w:numId w:val="25"/>
        </w:numPr>
        <w:ind w:hanging="720"/>
      </w:pPr>
      <w:r w:rsidRPr="00427529">
        <w:rPr>
          <w:b/>
          <w:i/>
        </w:rPr>
        <w:t>Phase diagram</w:t>
      </w:r>
    </w:p>
    <w:p w:rsidR="00C2220C" w:rsidRDefault="009732ED" w:rsidP="00C2220C">
      <w:pPr>
        <w:jc w:val="both"/>
      </w:pPr>
      <w:r w:rsidRPr="00427529">
        <w:lastRenderedPageBreak/>
        <w:t>The</w:t>
      </w:r>
      <w:r w:rsidR="00C2220C" w:rsidRPr="00427529">
        <w:t xml:space="preserve"> low temperature magnetic phase diagram </w:t>
      </w:r>
      <w:r w:rsidRPr="00427529">
        <w:t xml:space="preserve">for </w:t>
      </w:r>
      <w:proofErr w:type="gramStart"/>
      <w:r w:rsidR="00C2220C" w:rsidRPr="00427529">
        <w:t>La</w:t>
      </w:r>
      <w:r w:rsidR="00C2220C" w:rsidRPr="00427529">
        <w:rPr>
          <w:vertAlign w:val="subscript"/>
        </w:rPr>
        <w:t>4</w:t>
      </w:r>
      <w:r w:rsidR="00C2220C" w:rsidRPr="00427529">
        <w:t>(</w:t>
      </w:r>
      <w:proofErr w:type="gramEnd"/>
      <w:r w:rsidR="00C2220C" w:rsidRPr="00427529">
        <w:t>Co</w:t>
      </w:r>
      <w:r w:rsidR="00C2220C" w:rsidRPr="00427529">
        <w:rPr>
          <w:vertAlign w:val="subscript"/>
        </w:rPr>
        <w:t>1</w:t>
      </w:r>
      <w:r w:rsidR="00C2220C" w:rsidRPr="00427529">
        <w:rPr>
          <w:vertAlign w:val="subscript"/>
        </w:rPr>
        <w:sym w:font="Symbol" w:char="F02D"/>
      </w:r>
      <w:proofErr w:type="spellStart"/>
      <w:r w:rsidR="00C2220C" w:rsidRPr="00427529">
        <w:rPr>
          <w:i/>
          <w:vertAlign w:val="subscript"/>
        </w:rPr>
        <w:t>x</w:t>
      </w:r>
      <w:r w:rsidR="00C2220C" w:rsidRPr="00427529">
        <w:t>Ni</w:t>
      </w:r>
      <w:r w:rsidR="00C2220C" w:rsidRPr="00427529">
        <w:rPr>
          <w:i/>
          <w:vertAlign w:val="subscript"/>
        </w:rPr>
        <w:t>x</w:t>
      </w:r>
      <w:proofErr w:type="spellEnd"/>
      <w:r w:rsidR="00C2220C" w:rsidRPr="00427529">
        <w:t>)</w:t>
      </w:r>
      <w:r w:rsidR="00C2220C" w:rsidRPr="00427529">
        <w:rPr>
          <w:vertAlign w:val="subscript"/>
        </w:rPr>
        <w:t>3</w:t>
      </w:r>
      <w:r w:rsidR="00C2220C" w:rsidRPr="00427529">
        <w:t>O</w:t>
      </w:r>
      <w:r w:rsidR="00C2220C" w:rsidRPr="00427529">
        <w:rPr>
          <w:vertAlign w:val="subscript"/>
        </w:rPr>
        <w:t>10</w:t>
      </w:r>
      <w:r w:rsidR="00C2220C" w:rsidRPr="00427529">
        <w:t xml:space="preserve"> </w:t>
      </w:r>
      <w:r w:rsidRPr="00427529">
        <w:t xml:space="preserve">is sketched </w:t>
      </w:r>
      <w:r w:rsidR="00C2220C" w:rsidRPr="00427529">
        <w:t xml:space="preserve">in Figure </w:t>
      </w:r>
      <w:r w:rsidR="00BA235A">
        <w:t>7</w:t>
      </w:r>
      <w:r w:rsidR="00C2220C" w:rsidRPr="00427529">
        <w:t xml:space="preserve">. The existence of </w:t>
      </w:r>
      <w:r w:rsidRPr="00427529">
        <w:t xml:space="preserve">two </w:t>
      </w:r>
      <w:r w:rsidR="00C2220C" w:rsidRPr="00427529">
        <w:t xml:space="preserve">intermediate antiferromagnetic phases </w:t>
      </w:r>
      <w:r w:rsidRPr="00427529">
        <w:t>for</w:t>
      </w:r>
      <w:r w:rsidR="00C2220C" w:rsidRPr="00427529">
        <w:t xml:space="preserve"> </w:t>
      </w:r>
      <w:r w:rsidR="00C2220C" w:rsidRPr="00807094">
        <w:t xml:space="preserve">0.20 ≤ </w:t>
      </w:r>
      <w:r w:rsidR="00C2220C" w:rsidRPr="00807094">
        <w:rPr>
          <w:i/>
        </w:rPr>
        <w:t>x</w:t>
      </w:r>
      <w:r w:rsidR="00C2220C" w:rsidRPr="00807094">
        <w:t xml:space="preserve"> ≤ 0.80</w:t>
      </w:r>
      <w:r w:rsidR="00C2220C" w:rsidRPr="00427529">
        <w:t xml:space="preserve"> is notable. It is likely that the three antiferromagnetic regimes denoted AF-1, AF-2 and AF-3 represent different magnetic structures. Of these, only AF-1 has been p</w:t>
      </w:r>
      <w:r w:rsidRPr="00427529">
        <w:t>roved by neutron diffraction</w:t>
      </w:r>
      <w:proofErr w:type="gramStart"/>
      <w:r w:rsidRPr="00427529">
        <w:t>.</w:t>
      </w:r>
      <w:r w:rsidR="00F52F01" w:rsidRPr="00427529">
        <w:t>[</w:t>
      </w:r>
      <w:proofErr w:type="gramEnd"/>
      <w:r w:rsidR="00294374" w:rsidRPr="00427529">
        <w:t>2</w:t>
      </w:r>
      <w:r w:rsidR="00557B04">
        <w:t>5</w:t>
      </w:r>
      <w:r w:rsidR="00F52F01" w:rsidRPr="00427529">
        <w:t>]</w:t>
      </w:r>
    </w:p>
    <w:p w:rsidR="00DE4E93" w:rsidRPr="00427529" w:rsidRDefault="00DE4E93" w:rsidP="00DE4E93">
      <w:pPr>
        <w:jc w:val="center"/>
      </w:pPr>
      <w:r>
        <w:rPr>
          <w:b/>
          <w:i/>
          <w:noProof/>
          <w:lang w:val="en-US" w:eastAsia="zh-CN"/>
        </w:rPr>
        <w:drawing>
          <wp:inline distT="0" distB="0" distL="0" distR="0" wp14:anchorId="3056E92F" wp14:editId="113C7310">
            <wp:extent cx="4131945" cy="2898775"/>
            <wp:effectExtent l="0" t="0" r="0" b="0"/>
            <wp:docPr id="16" name="Picture 16" descr="C:\Users\mariusun\Downloads\Picture7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usun\Downloads\Picture7 (1).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1945" cy="2898775"/>
                    </a:xfrm>
                    <a:prstGeom prst="rect">
                      <a:avLst/>
                    </a:prstGeom>
                    <a:noFill/>
                    <a:ln>
                      <a:noFill/>
                    </a:ln>
                  </pic:spPr>
                </pic:pic>
              </a:graphicData>
            </a:graphic>
          </wp:inline>
        </w:drawing>
      </w:r>
    </w:p>
    <w:p w:rsidR="00C2220C" w:rsidRPr="00427529" w:rsidRDefault="00C2220C" w:rsidP="00D53DF3">
      <w:pPr>
        <w:pStyle w:val="Figurecaption"/>
      </w:pPr>
      <w:proofErr w:type="gramStart"/>
      <w:r w:rsidRPr="00427529">
        <w:rPr>
          <w:b/>
        </w:rPr>
        <w:t xml:space="preserve">Figure </w:t>
      </w:r>
      <w:r w:rsidR="00BA235A">
        <w:rPr>
          <w:b/>
        </w:rPr>
        <w:t>7</w:t>
      </w:r>
      <w:r w:rsidRPr="00427529">
        <w:rPr>
          <w:b/>
        </w:rPr>
        <w:t>.</w:t>
      </w:r>
      <w:proofErr w:type="gramEnd"/>
      <w:r w:rsidR="00417559" w:rsidRPr="00427529">
        <w:t xml:space="preserve"> Low-temperature m</w:t>
      </w:r>
      <w:r w:rsidRPr="00427529">
        <w:t xml:space="preserve">agnetic phase diagram for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10</w:t>
      </w:r>
      <w:r w:rsidRPr="00427529">
        <w:t>.</w:t>
      </w:r>
    </w:p>
    <w:p w:rsidR="00C2220C" w:rsidRPr="00427529" w:rsidRDefault="00C2220C" w:rsidP="00C2220C"/>
    <w:p w:rsidR="00C2220C" w:rsidRPr="00427529" w:rsidRDefault="00C2220C" w:rsidP="00C2220C">
      <w:pPr>
        <w:jc w:val="both"/>
      </w:pPr>
      <w:r w:rsidRPr="00427529">
        <w:t xml:space="preserve">In the </w:t>
      </w:r>
      <w:proofErr w:type="gramStart"/>
      <w:r w:rsidRPr="00427529">
        <w:t>La</w:t>
      </w:r>
      <w:r w:rsidRPr="00427529">
        <w:rPr>
          <w:vertAlign w:val="subscript"/>
        </w:rPr>
        <w:t>4</w:t>
      </w:r>
      <w:r w:rsidRPr="00427529">
        <w:t>(</w:t>
      </w:r>
      <w:proofErr w:type="gramEnd"/>
      <w:r w:rsidRPr="00427529">
        <w:t>Co</w:t>
      </w:r>
      <w:r w:rsidRPr="00427529">
        <w:rPr>
          <w:vertAlign w:val="subscript"/>
        </w:rPr>
        <w:t>1</w:t>
      </w:r>
      <w:r w:rsidRPr="00427529">
        <w:rPr>
          <w:vertAlign w:val="subscript"/>
        </w:rPr>
        <w:sym w:font="Symbol" w:char="F02D"/>
      </w:r>
      <w:proofErr w:type="spellStart"/>
      <w:r w:rsidRPr="00427529">
        <w:rPr>
          <w:i/>
          <w:vertAlign w:val="subscript"/>
        </w:rPr>
        <w:t>x</w:t>
      </w:r>
      <w:r w:rsidRPr="00427529">
        <w:t>Ni</w:t>
      </w:r>
      <w:r w:rsidRPr="00427529">
        <w:rPr>
          <w:i/>
          <w:vertAlign w:val="subscript"/>
        </w:rPr>
        <w:t>x</w:t>
      </w:r>
      <w:proofErr w:type="spellEnd"/>
      <w:r w:rsidRPr="00427529">
        <w:t>)</w:t>
      </w:r>
      <w:r w:rsidRPr="00427529">
        <w:rPr>
          <w:vertAlign w:val="subscript"/>
        </w:rPr>
        <w:t>3</w:t>
      </w:r>
      <w:r w:rsidRPr="00427529">
        <w:t>O</w:t>
      </w:r>
      <w:r w:rsidRPr="00427529">
        <w:rPr>
          <w:vertAlign w:val="subscript"/>
        </w:rPr>
        <w:t xml:space="preserve">10 </w:t>
      </w:r>
      <w:r w:rsidRPr="00427529">
        <w:t xml:space="preserve">solid solution, Co- and Ni-atoms are randomly distributed on octahedral sites according to PND data. There are no evidences for charge ordering. </w:t>
      </w:r>
      <w:r w:rsidR="009732ED" w:rsidRPr="00427529">
        <w:t>The</w:t>
      </w:r>
      <w:r w:rsidRPr="00427529">
        <w:t xml:space="preserve"> AF-1 state for </w:t>
      </w:r>
      <w:r w:rsidRPr="00427529">
        <w:rPr>
          <w:i/>
        </w:rPr>
        <w:t>x</w:t>
      </w:r>
      <w:r w:rsidRPr="00427529">
        <w:t xml:space="preserve"> = 0.00 is due to Co(II) atoms in the triple </w:t>
      </w:r>
      <w:proofErr w:type="spellStart"/>
      <w:r w:rsidRPr="00427529">
        <w:t>perovskite</w:t>
      </w:r>
      <w:proofErr w:type="spellEnd"/>
      <w:r w:rsidRPr="00427529">
        <w:t xml:space="preserve"> type blocks, with Co(III) being mainly non-magnetic </w:t>
      </w:r>
      <w:r w:rsidR="00C07E6B" w:rsidRPr="00427529">
        <w:rPr>
          <w:i/>
        </w:rPr>
        <w:t>3</w:t>
      </w:r>
      <w:r w:rsidRPr="00427529">
        <w:rPr>
          <w:i/>
        </w:rPr>
        <w:t>d</w:t>
      </w:r>
      <w:r w:rsidRPr="00427529">
        <w:rPr>
          <w:i/>
          <w:vertAlign w:val="superscript"/>
        </w:rPr>
        <w:t>6</w:t>
      </w:r>
      <w:r w:rsidRPr="00427529">
        <w:t xml:space="preserve"> low-spin. The AF-3 regime centred </w:t>
      </w:r>
      <w:r w:rsidR="00C4712E" w:rsidRPr="00427529">
        <w:t>on</w:t>
      </w:r>
      <w:r w:rsidRPr="00427529">
        <w:t xml:space="preserve"> </w:t>
      </w:r>
      <w:r w:rsidRPr="00427529">
        <w:rPr>
          <w:i/>
        </w:rPr>
        <w:t>x</w:t>
      </w:r>
      <w:r w:rsidRPr="00427529">
        <w:t xml:space="preserve"> ≈ 0.50 has a different origin. Since </w:t>
      </w:r>
      <w:proofErr w:type="gramStart"/>
      <w:r w:rsidRPr="00427529">
        <w:t>Ni(</w:t>
      </w:r>
      <w:proofErr w:type="gramEnd"/>
      <w:r w:rsidRPr="00427529">
        <w:t xml:space="preserve">III) is less stable than Co(III) at a given </w:t>
      </w:r>
      <w:r w:rsidRPr="00427529">
        <w:rPr>
          <w:i/>
        </w:rPr>
        <w:t>T</w:t>
      </w:r>
      <w:r w:rsidRPr="00427529">
        <w:t xml:space="preserve">, </w:t>
      </w:r>
      <w:r w:rsidRPr="00427529">
        <w:rPr>
          <w:i/>
        </w:rPr>
        <w:t>p</w:t>
      </w:r>
      <w:r w:rsidRPr="00427529">
        <w:t>O</w:t>
      </w:r>
      <w:r w:rsidRPr="00427529">
        <w:rPr>
          <w:vertAlign w:val="subscript"/>
        </w:rPr>
        <w:t>2</w:t>
      </w:r>
      <w:r w:rsidRPr="00427529">
        <w:t xml:space="preserve"> condition, </w:t>
      </w:r>
      <w:r w:rsidR="009732ED" w:rsidRPr="00427529">
        <w:t>a</w:t>
      </w:r>
      <w:r w:rsidRPr="00427529">
        <w:t xml:space="preserve"> substitution of cobalt into La</w:t>
      </w:r>
      <w:r w:rsidRPr="00427529">
        <w:rPr>
          <w:vertAlign w:val="subscript"/>
        </w:rPr>
        <w:t>4</w:t>
      </w:r>
      <w:r w:rsidRPr="00427529">
        <w:t>Ni</w:t>
      </w:r>
      <w:r w:rsidRPr="00427529">
        <w:rPr>
          <w:vertAlign w:val="subscript"/>
        </w:rPr>
        <w:t>3</w:t>
      </w:r>
      <w:r w:rsidRPr="00427529">
        <w:t>O</w:t>
      </w:r>
      <w:r w:rsidRPr="00427529">
        <w:rPr>
          <w:vertAlign w:val="subscript"/>
        </w:rPr>
        <w:t xml:space="preserve">10 </w:t>
      </w:r>
      <w:r w:rsidR="009732ED" w:rsidRPr="00427529">
        <w:t xml:space="preserve">would imply </w:t>
      </w:r>
      <w:r w:rsidRPr="00427529">
        <w:t xml:space="preserve">that Ni(III) atoms are exchanged by </w:t>
      </w:r>
      <w:r w:rsidR="009732ED" w:rsidRPr="00427529">
        <w:t xml:space="preserve">Co(III) atoms, which </w:t>
      </w:r>
      <w:r w:rsidRPr="00427529">
        <w:t xml:space="preserve">enhances the Ni(II) concentration. </w:t>
      </w:r>
      <w:r w:rsidRPr="000E64B2">
        <w:rPr>
          <w:lang w:val="es-ES"/>
        </w:rPr>
        <w:t xml:space="preserve">A </w:t>
      </w:r>
      <w:proofErr w:type="spellStart"/>
      <w:r w:rsidRPr="000E64B2">
        <w:rPr>
          <w:lang w:val="es-ES"/>
        </w:rPr>
        <w:t>possible</w:t>
      </w:r>
      <w:proofErr w:type="spellEnd"/>
      <w:r w:rsidRPr="000E64B2">
        <w:rPr>
          <w:lang w:val="es-ES"/>
        </w:rPr>
        <w:t xml:space="preserve"> </w:t>
      </w:r>
      <w:proofErr w:type="spellStart"/>
      <w:r w:rsidRPr="000E64B2">
        <w:rPr>
          <w:lang w:val="es-ES"/>
        </w:rPr>
        <w:t>description</w:t>
      </w:r>
      <w:proofErr w:type="spellEnd"/>
      <w:r w:rsidRPr="000E64B2">
        <w:rPr>
          <w:lang w:val="es-ES"/>
        </w:rPr>
        <w:t xml:space="preserve"> of </w:t>
      </w:r>
      <w:proofErr w:type="gramStart"/>
      <w:r w:rsidRPr="000E64B2">
        <w:rPr>
          <w:lang w:val="es-ES"/>
        </w:rPr>
        <w:t>La</w:t>
      </w:r>
      <w:r w:rsidRPr="000E64B2">
        <w:rPr>
          <w:vertAlign w:val="subscript"/>
          <w:lang w:val="es-ES"/>
        </w:rPr>
        <w:t>4</w:t>
      </w:r>
      <w:r w:rsidRPr="000E64B2">
        <w:rPr>
          <w:lang w:val="es-ES"/>
        </w:rPr>
        <w:t>(</w:t>
      </w:r>
      <w:proofErr w:type="gramEnd"/>
      <w:r w:rsidRPr="000E64B2">
        <w:rPr>
          <w:lang w:val="es-ES"/>
        </w:rPr>
        <w:t>Co</w:t>
      </w:r>
      <w:r w:rsidRPr="000E64B2">
        <w:rPr>
          <w:vertAlign w:val="subscript"/>
          <w:lang w:val="es-ES"/>
        </w:rPr>
        <w:t>0.50</w:t>
      </w:r>
      <w:r w:rsidRPr="000E64B2">
        <w:rPr>
          <w:lang w:val="es-ES"/>
        </w:rPr>
        <w:t>Ni</w:t>
      </w:r>
      <w:r w:rsidRPr="000E64B2">
        <w:rPr>
          <w:vertAlign w:val="subscript"/>
          <w:lang w:val="es-ES"/>
        </w:rPr>
        <w:t>0.50</w:t>
      </w:r>
      <w:r w:rsidRPr="000E64B2">
        <w:rPr>
          <w:lang w:val="es-ES"/>
        </w:rPr>
        <w:t>)</w:t>
      </w:r>
      <w:r w:rsidRPr="000E64B2">
        <w:rPr>
          <w:vertAlign w:val="subscript"/>
          <w:lang w:val="es-ES"/>
        </w:rPr>
        <w:t>3</w:t>
      </w:r>
      <w:r w:rsidRPr="000E64B2">
        <w:rPr>
          <w:lang w:val="es-ES"/>
        </w:rPr>
        <w:t>O</w:t>
      </w:r>
      <w:r w:rsidRPr="000E64B2">
        <w:rPr>
          <w:vertAlign w:val="subscript"/>
          <w:lang w:val="es-ES"/>
        </w:rPr>
        <w:t>10</w:t>
      </w:r>
      <w:r w:rsidRPr="000E64B2">
        <w:rPr>
          <w:lang w:val="es-ES"/>
        </w:rPr>
        <w:t xml:space="preserve"> </w:t>
      </w:r>
      <w:proofErr w:type="spellStart"/>
      <w:r w:rsidRPr="000E64B2">
        <w:rPr>
          <w:lang w:val="es-ES"/>
        </w:rPr>
        <w:t>is</w:t>
      </w:r>
      <w:proofErr w:type="spellEnd"/>
      <w:r w:rsidRPr="000E64B2">
        <w:rPr>
          <w:lang w:val="es-ES"/>
        </w:rPr>
        <w:t xml:space="preserve"> La</w:t>
      </w:r>
      <w:r w:rsidRPr="000E64B2">
        <w:rPr>
          <w:vertAlign w:val="subscript"/>
          <w:lang w:val="es-ES"/>
        </w:rPr>
        <w:t>4</w:t>
      </w:r>
      <w:r w:rsidRPr="000E64B2">
        <w:rPr>
          <w:lang w:val="es-ES"/>
        </w:rPr>
        <w:t>Co(III)</w:t>
      </w:r>
      <w:r w:rsidRPr="000E64B2">
        <w:rPr>
          <w:vertAlign w:val="subscript"/>
          <w:lang w:val="es-ES"/>
        </w:rPr>
        <w:t>1.5</w:t>
      </w:r>
      <w:r w:rsidRPr="000E64B2">
        <w:rPr>
          <w:lang w:val="es-ES"/>
        </w:rPr>
        <w:t>Co(II)</w:t>
      </w:r>
      <w:r w:rsidRPr="000E64B2">
        <w:rPr>
          <w:vertAlign w:val="subscript"/>
          <w:lang w:val="es-ES"/>
        </w:rPr>
        <w:t>0</w:t>
      </w:r>
      <w:r w:rsidRPr="000E64B2">
        <w:rPr>
          <w:lang w:val="es-ES"/>
        </w:rPr>
        <w:t>Ni(III)</w:t>
      </w:r>
      <w:r w:rsidRPr="000E64B2">
        <w:rPr>
          <w:vertAlign w:val="subscript"/>
          <w:lang w:val="es-ES"/>
        </w:rPr>
        <w:t>0.5</w:t>
      </w:r>
      <w:r w:rsidRPr="000E64B2">
        <w:rPr>
          <w:lang w:val="es-ES"/>
        </w:rPr>
        <w:t>Ni(II)</w:t>
      </w:r>
      <w:r w:rsidRPr="000E64B2">
        <w:rPr>
          <w:vertAlign w:val="subscript"/>
          <w:lang w:val="es-ES"/>
        </w:rPr>
        <w:t>1</w:t>
      </w:r>
      <w:r w:rsidRPr="000E64B2">
        <w:rPr>
          <w:lang w:val="es-ES"/>
        </w:rPr>
        <w:t>O</w:t>
      </w:r>
      <w:r w:rsidRPr="000E64B2">
        <w:rPr>
          <w:vertAlign w:val="subscript"/>
          <w:lang w:val="es-ES"/>
        </w:rPr>
        <w:t>10</w:t>
      </w:r>
      <w:r w:rsidRPr="000E64B2">
        <w:rPr>
          <w:lang w:val="es-ES"/>
        </w:rPr>
        <w:t xml:space="preserve">. </w:t>
      </w:r>
      <w:r w:rsidRPr="00427529">
        <w:t xml:space="preserve">Anticipating that </w:t>
      </w:r>
      <w:proofErr w:type="gramStart"/>
      <w:r w:rsidRPr="00427529">
        <w:t>Co(</w:t>
      </w:r>
      <w:proofErr w:type="gramEnd"/>
      <w:r w:rsidRPr="00427529">
        <w:t xml:space="preserve">III) is LS, and Ni(III) is not the main source for unpaired electrons, </w:t>
      </w:r>
      <w:r w:rsidRPr="00427529">
        <w:lastRenderedPageBreak/>
        <w:t xml:space="preserve">it </w:t>
      </w:r>
      <w:r w:rsidR="009732ED" w:rsidRPr="00427529">
        <w:t>is</w:t>
      </w:r>
      <w:r w:rsidRPr="00427529">
        <w:t xml:space="preserve"> likely that AF-3 is mainly due to Ni(II). In octahedral fields, </w:t>
      </w:r>
      <w:proofErr w:type="gramStart"/>
      <w:r w:rsidRPr="00427529">
        <w:t>Ni(</w:t>
      </w:r>
      <w:proofErr w:type="gramEnd"/>
      <w:r w:rsidRPr="00427529">
        <w:t xml:space="preserve">II) has two unpaired electrons, which, when averaged for the </w:t>
      </w:r>
      <w:r w:rsidRPr="00427529">
        <w:rPr>
          <w:i/>
        </w:rPr>
        <w:t>3d</w:t>
      </w:r>
      <w:r w:rsidRPr="00427529">
        <w:t>-sublattice gives an ordered magnetic moment that easily escapes detection by neutron diffraction. Along the same line of arguments, introduction of nickel into La</w:t>
      </w:r>
      <w:r w:rsidRPr="00427529">
        <w:rPr>
          <w:vertAlign w:val="subscript"/>
        </w:rPr>
        <w:t>4</w:t>
      </w:r>
      <w:r w:rsidRPr="00427529">
        <w:t>Co</w:t>
      </w:r>
      <w:r w:rsidRPr="00427529">
        <w:rPr>
          <w:vertAlign w:val="subscript"/>
        </w:rPr>
        <w:t>3</w:t>
      </w:r>
      <w:r w:rsidRPr="00427529">
        <w:t>O</w:t>
      </w:r>
      <w:r w:rsidRPr="00427529">
        <w:rPr>
          <w:vertAlign w:val="subscript"/>
        </w:rPr>
        <w:t xml:space="preserve">10 </w:t>
      </w:r>
      <w:r w:rsidRPr="00427529">
        <w:t xml:space="preserve">will likely imply exchange of </w:t>
      </w:r>
      <w:proofErr w:type="gramStart"/>
      <w:r w:rsidRPr="00427529">
        <w:t>Co(</w:t>
      </w:r>
      <w:proofErr w:type="gramEnd"/>
      <w:r w:rsidRPr="00427529">
        <w:t xml:space="preserve">II) by Ni(II), thereby weakening the magnetic interactions and loss of cooperative magnetism, see Figures </w:t>
      </w:r>
      <w:r w:rsidR="00BA235A">
        <w:t>6</w:t>
      </w:r>
      <w:r w:rsidRPr="00427529">
        <w:t xml:space="preserve"> and </w:t>
      </w:r>
      <w:r w:rsidR="00BA235A">
        <w:t>7</w:t>
      </w:r>
      <w:r w:rsidRPr="00427529">
        <w:t>. According to Shannon, ionic radii for coordination number six are Co(II) HS 0.745 Å,  Co(III) HS 0.61 Å, Co(III) LS 0.545 Å, Ni(II) 0.690 Å and Ni(III) LS 0.56 Å.[</w:t>
      </w:r>
      <w:r w:rsidR="00294374" w:rsidRPr="00427529">
        <w:t>2</w:t>
      </w:r>
      <w:r w:rsidR="00557B04">
        <w:t>8</w:t>
      </w:r>
      <w:r w:rsidRPr="00427529">
        <w:t xml:space="preserve">] Hence, at substitution levels </w:t>
      </w:r>
      <w:r w:rsidRPr="00427529">
        <w:rPr>
          <w:i/>
        </w:rPr>
        <w:t>x</w:t>
      </w:r>
      <w:r w:rsidRPr="00427529">
        <w:t xml:space="preserve"> &gt; 0.50, the small sized Co(III) LS atoms will be replaced by somewhat larger Ni(III) atoms, consistent with the </w:t>
      </w:r>
      <w:r w:rsidRPr="00427529">
        <w:rPr>
          <w:i/>
        </w:rPr>
        <w:t>V</w:t>
      </w:r>
      <w:r w:rsidRPr="00427529">
        <w:t>(</w:t>
      </w:r>
      <w:r w:rsidRPr="00427529">
        <w:rPr>
          <w:i/>
        </w:rPr>
        <w:t>x</w:t>
      </w:r>
      <w:r w:rsidRPr="00427529">
        <w:t xml:space="preserve">) volume expansion shown in Figure 1 for </w:t>
      </w:r>
      <w:r w:rsidRPr="00427529">
        <w:rPr>
          <w:i/>
        </w:rPr>
        <w:t>x</w:t>
      </w:r>
      <w:r w:rsidRPr="00427529">
        <w:t xml:space="preserve"> &gt; 0.50. The border between Curie-Weiss paramagnetism and Pauli paramagnetism is indicated at </w:t>
      </w:r>
      <w:r w:rsidRPr="00427529">
        <w:rPr>
          <w:i/>
        </w:rPr>
        <w:t>x</w:t>
      </w:r>
      <w:r w:rsidRPr="00427529">
        <w:t xml:space="preserve"> = 0.80 in Figure </w:t>
      </w:r>
      <w:r w:rsidR="00BA235A">
        <w:t>7</w:t>
      </w:r>
      <w:r w:rsidRPr="00427529">
        <w:t>. A remaining open question is how the electric conductivity varies across this border.</w:t>
      </w:r>
    </w:p>
    <w:p w:rsidR="00C2220C" w:rsidRPr="00427529" w:rsidRDefault="00C2220C" w:rsidP="00C2220C">
      <w:pPr>
        <w:pStyle w:val="Heading1"/>
        <w:numPr>
          <w:ilvl w:val="0"/>
          <w:numId w:val="25"/>
        </w:numPr>
        <w:ind w:left="426" w:hanging="426"/>
      </w:pPr>
      <w:r w:rsidRPr="00427529">
        <w:t>Conclusion</w:t>
      </w:r>
    </w:p>
    <w:p w:rsidR="00C2220C" w:rsidRPr="00427529" w:rsidRDefault="00C2220C" w:rsidP="00C2220C">
      <w:pPr>
        <w:pStyle w:val="PlainText"/>
        <w:spacing w:line="480" w:lineRule="auto"/>
        <w:jc w:val="both"/>
        <w:rPr>
          <w:rFonts w:ascii="Times New Roman" w:eastAsia="Times New Roman" w:hAnsi="Times New Roman"/>
          <w:sz w:val="24"/>
          <w:szCs w:val="24"/>
          <w:lang w:eastAsia="en-GB"/>
        </w:rPr>
      </w:pPr>
      <w:r w:rsidRPr="00427529">
        <w:rPr>
          <w:rFonts w:ascii="Times New Roman" w:eastAsia="Times New Roman" w:hAnsi="Times New Roman"/>
          <w:sz w:val="24"/>
          <w:szCs w:val="24"/>
          <w:lang w:eastAsia="en-GB"/>
        </w:rPr>
        <w:t>The crystal structure of the La</w:t>
      </w:r>
      <w:r w:rsidRPr="00427529">
        <w:rPr>
          <w:rFonts w:ascii="Times New Roman" w:eastAsia="Times New Roman" w:hAnsi="Times New Roman"/>
          <w:sz w:val="24"/>
          <w:szCs w:val="24"/>
          <w:vertAlign w:val="subscript"/>
          <w:lang w:eastAsia="en-GB"/>
        </w:rPr>
        <w:t>4</w:t>
      </w:r>
      <w:r w:rsidRPr="00427529">
        <w:rPr>
          <w:rFonts w:ascii="Times New Roman" w:eastAsia="Times New Roman" w:hAnsi="Times New Roman"/>
          <w:sz w:val="24"/>
          <w:szCs w:val="24"/>
          <w:lang w:eastAsia="en-GB"/>
        </w:rPr>
        <w:t>(Co</w:t>
      </w:r>
      <w:r w:rsidRPr="00427529">
        <w:rPr>
          <w:rFonts w:ascii="Times New Roman" w:eastAsia="Times New Roman" w:hAnsi="Times New Roman"/>
          <w:sz w:val="24"/>
          <w:szCs w:val="24"/>
          <w:vertAlign w:val="subscript"/>
          <w:lang w:eastAsia="en-GB"/>
        </w:rPr>
        <w:t>1</w:t>
      </w:r>
      <w:r w:rsidRPr="00427529">
        <w:rPr>
          <w:rFonts w:ascii="Times New Roman" w:eastAsia="Times New Roman" w:hAnsi="Times New Roman"/>
          <w:sz w:val="24"/>
          <w:szCs w:val="24"/>
          <w:vertAlign w:val="subscript"/>
          <w:lang w:eastAsia="en-GB"/>
        </w:rPr>
        <w:sym w:font="Symbol" w:char="F02D"/>
      </w:r>
      <w:proofErr w:type="spellStart"/>
      <w:r w:rsidRPr="00427529">
        <w:rPr>
          <w:rFonts w:ascii="Times New Roman" w:eastAsia="Times New Roman" w:hAnsi="Times New Roman"/>
          <w:i/>
          <w:sz w:val="24"/>
          <w:szCs w:val="24"/>
          <w:vertAlign w:val="subscript"/>
          <w:lang w:eastAsia="en-GB"/>
        </w:rPr>
        <w:t>x</w:t>
      </w:r>
      <w:r w:rsidRPr="00427529">
        <w:rPr>
          <w:rFonts w:ascii="Times New Roman" w:eastAsia="Times New Roman" w:hAnsi="Times New Roman"/>
          <w:sz w:val="24"/>
          <w:szCs w:val="24"/>
          <w:lang w:eastAsia="en-GB"/>
        </w:rPr>
        <w:t>Ni</w:t>
      </w:r>
      <w:r w:rsidRPr="00427529">
        <w:rPr>
          <w:rFonts w:ascii="Times New Roman" w:eastAsia="Times New Roman" w:hAnsi="Times New Roman"/>
          <w:i/>
          <w:sz w:val="24"/>
          <w:szCs w:val="24"/>
          <w:vertAlign w:val="subscript"/>
          <w:lang w:eastAsia="en-GB"/>
        </w:rPr>
        <w:t>x</w:t>
      </w:r>
      <w:proofErr w:type="spellEnd"/>
      <w:r w:rsidRPr="00427529">
        <w:rPr>
          <w:rFonts w:ascii="Times New Roman" w:eastAsia="Times New Roman" w:hAnsi="Times New Roman"/>
          <w:sz w:val="24"/>
          <w:szCs w:val="24"/>
          <w:lang w:eastAsia="en-GB"/>
        </w:rPr>
        <w:t>)</w:t>
      </w:r>
      <w:r w:rsidRPr="00427529">
        <w:rPr>
          <w:rFonts w:ascii="Times New Roman" w:eastAsia="Times New Roman" w:hAnsi="Times New Roman"/>
          <w:sz w:val="24"/>
          <w:szCs w:val="24"/>
          <w:vertAlign w:val="subscript"/>
          <w:lang w:eastAsia="en-GB"/>
        </w:rPr>
        <w:t>3</w:t>
      </w:r>
      <w:r w:rsidRPr="00427529">
        <w:rPr>
          <w:rFonts w:ascii="Times New Roman" w:eastAsia="Times New Roman" w:hAnsi="Times New Roman"/>
          <w:sz w:val="24"/>
          <w:szCs w:val="24"/>
          <w:lang w:eastAsia="en-GB"/>
        </w:rPr>
        <w:t>O</w:t>
      </w:r>
      <w:r w:rsidRPr="00427529">
        <w:rPr>
          <w:rFonts w:ascii="Times New Roman" w:eastAsia="Times New Roman" w:hAnsi="Times New Roman"/>
          <w:sz w:val="24"/>
          <w:szCs w:val="24"/>
          <w:vertAlign w:val="subscript"/>
          <w:lang w:eastAsia="en-GB"/>
        </w:rPr>
        <w:t xml:space="preserve">10 </w:t>
      </w:r>
      <w:r w:rsidRPr="00427529">
        <w:rPr>
          <w:rFonts w:ascii="Times New Roman" w:eastAsia="Times New Roman" w:hAnsi="Times New Roman"/>
          <w:sz w:val="24"/>
          <w:szCs w:val="24"/>
          <w:lang w:eastAsia="en-GB"/>
        </w:rPr>
        <w:t xml:space="preserve"> solid solution phase retains monoclinic </w:t>
      </w:r>
      <w:r w:rsidRPr="00427529">
        <w:rPr>
          <w:rFonts w:ascii="Times New Roman" w:eastAsia="Times New Roman" w:hAnsi="Times New Roman"/>
          <w:i/>
          <w:sz w:val="24"/>
          <w:szCs w:val="24"/>
          <w:lang w:eastAsia="en-GB"/>
        </w:rPr>
        <w:t>P2</w:t>
      </w:r>
      <w:r w:rsidRPr="00427529">
        <w:rPr>
          <w:rFonts w:ascii="Times New Roman" w:eastAsia="Times New Roman" w:hAnsi="Times New Roman"/>
          <w:i/>
          <w:sz w:val="24"/>
          <w:szCs w:val="24"/>
          <w:vertAlign w:val="subscript"/>
          <w:lang w:eastAsia="en-GB"/>
        </w:rPr>
        <w:t>1</w:t>
      </w:r>
      <w:r w:rsidRPr="00427529">
        <w:rPr>
          <w:rFonts w:ascii="Times New Roman" w:eastAsia="Times New Roman" w:hAnsi="Times New Roman"/>
          <w:i/>
          <w:sz w:val="24"/>
          <w:szCs w:val="24"/>
          <w:lang w:eastAsia="en-GB"/>
        </w:rPr>
        <w:t>/a</w:t>
      </w:r>
      <w:r w:rsidR="00142B7B" w:rsidRPr="00427529">
        <w:rPr>
          <w:rFonts w:ascii="Times New Roman" w:eastAsia="Times New Roman" w:hAnsi="Times New Roman"/>
          <w:i/>
          <w:sz w:val="24"/>
          <w:szCs w:val="24"/>
          <w:lang w:eastAsia="en-GB"/>
        </w:rPr>
        <w:t xml:space="preserve"> </w:t>
      </w:r>
      <w:r w:rsidRPr="00427529">
        <w:rPr>
          <w:rFonts w:ascii="Times New Roman" w:eastAsia="Times New Roman" w:hAnsi="Times New Roman"/>
          <w:sz w:val="24"/>
          <w:szCs w:val="24"/>
          <w:lang w:eastAsia="en-GB"/>
        </w:rPr>
        <w:t xml:space="preserve">symmetry for all compositions of </w:t>
      </w:r>
      <w:r w:rsidRPr="00427529">
        <w:rPr>
          <w:rFonts w:ascii="Times New Roman" w:eastAsia="Times New Roman" w:hAnsi="Times New Roman"/>
          <w:i/>
          <w:sz w:val="24"/>
          <w:szCs w:val="24"/>
          <w:lang w:eastAsia="en-GB"/>
        </w:rPr>
        <w:t>x</w:t>
      </w:r>
      <w:r w:rsidRPr="00427529">
        <w:rPr>
          <w:rFonts w:ascii="Times New Roman" w:eastAsia="Times New Roman" w:hAnsi="Times New Roman"/>
          <w:sz w:val="24"/>
          <w:szCs w:val="24"/>
          <w:lang w:eastAsia="en-GB"/>
        </w:rPr>
        <w:t xml:space="preserve">, thereby settling issues in literature with multiple phase changes as function of </w:t>
      </w:r>
      <w:r w:rsidRPr="00427529">
        <w:rPr>
          <w:rFonts w:ascii="Times New Roman" w:eastAsia="Times New Roman" w:hAnsi="Times New Roman"/>
          <w:i/>
          <w:sz w:val="24"/>
          <w:szCs w:val="24"/>
          <w:lang w:eastAsia="en-GB"/>
        </w:rPr>
        <w:t>x</w:t>
      </w:r>
      <w:r w:rsidRPr="00427529">
        <w:rPr>
          <w:rFonts w:ascii="Times New Roman" w:eastAsia="Times New Roman" w:hAnsi="Times New Roman"/>
          <w:sz w:val="24"/>
          <w:szCs w:val="24"/>
          <w:lang w:eastAsia="en-GB"/>
        </w:rPr>
        <w:t>-composition</w:t>
      </w:r>
      <w:r w:rsidR="009732ED" w:rsidRPr="00427529">
        <w:rPr>
          <w:rFonts w:ascii="Times New Roman" w:eastAsia="Times New Roman" w:hAnsi="Times New Roman"/>
          <w:sz w:val="24"/>
          <w:szCs w:val="24"/>
          <w:lang w:eastAsia="en-GB"/>
        </w:rPr>
        <w:t>.</w:t>
      </w:r>
      <w:r w:rsidRPr="00427529">
        <w:rPr>
          <w:rFonts w:ascii="Times New Roman" w:eastAsia="Times New Roman" w:hAnsi="Times New Roman"/>
          <w:sz w:val="24"/>
          <w:szCs w:val="24"/>
          <w:lang w:eastAsia="en-GB"/>
        </w:rPr>
        <w:t xml:space="preserve"> The magnetic phase diagram bridges semiconducting, antiferromagnetic La</w:t>
      </w:r>
      <w:r w:rsidRPr="00427529">
        <w:rPr>
          <w:rFonts w:ascii="Times New Roman" w:eastAsia="Times New Roman" w:hAnsi="Times New Roman"/>
          <w:sz w:val="24"/>
          <w:szCs w:val="24"/>
          <w:vertAlign w:val="subscript"/>
          <w:lang w:eastAsia="en-GB"/>
        </w:rPr>
        <w:t>4</w:t>
      </w:r>
      <w:r w:rsidRPr="00427529">
        <w:rPr>
          <w:rFonts w:ascii="Times New Roman" w:eastAsia="Times New Roman" w:hAnsi="Times New Roman"/>
          <w:sz w:val="24"/>
          <w:szCs w:val="24"/>
          <w:lang w:eastAsia="en-GB"/>
        </w:rPr>
        <w:t>Co</w:t>
      </w:r>
      <w:r w:rsidRPr="00427529">
        <w:rPr>
          <w:rFonts w:ascii="Times New Roman" w:eastAsia="Times New Roman" w:hAnsi="Times New Roman"/>
          <w:sz w:val="24"/>
          <w:szCs w:val="24"/>
          <w:vertAlign w:val="subscript"/>
          <w:lang w:eastAsia="en-GB"/>
        </w:rPr>
        <w:t>3</w:t>
      </w:r>
      <w:r w:rsidRPr="00427529">
        <w:rPr>
          <w:rFonts w:ascii="Times New Roman" w:eastAsia="Times New Roman" w:hAnsi="Times New Roman"/>
          <w:sz w:val="24"/>
          <w:szCs w:val="24"/>
          <w:lang w:eastAsia="en-GB"/>
        </w:rPr>
        <w:t>O</w:t>
      </w:r>
      <w:r w:rsidRPr="00427529">
        <w:rPr>
          <w:rFonts w:ascii="Times New Roman" w:eastAsia="Times New Roman" w:hAnsi="Times New Roman"/>
          <w:sz w:val="24"/>
          <w:szCs w:val="24"/>
          <w:vertAlign w:val="subscript"/>
          <w:lang w:eastAsia="en-GB"/>
        </w:rPr>
        <w:t>10</w:t>
      </w:r>
      <w:r w:rsidRPr="00427529">
        <w:rPr>
          <w:rFonts w:ascii="Times New Roman" w:eastAsia="Times New Roman" w:hAnsi="Times New Roman"/>
          <w:sz w:val="24"/>
          <w:szCs w:val="24"/>
          <w:lang w:eastAsia="en-GB"/>
        </w:rPr>
        <w:t xml:space="preserve"> and metallic, Pauli paramagnetic La</w:t>
      </w:r>
      <w:r w:rsidRPr="00427529">
        <w:rPr>
          <w:rFonts w:ascii="Times New Roman" w:eastAsia="Times New Roman" w:hAnsi="Times New Roman"/>
          <w:sz w:val="24"/>
          <w:szCs w:val="24"/>
          <w:vertAlign w:val="subscript"/>
          <w:lang w:eastAsia="en-GB"/>
        </w:rPr>
        <w:t>4</w:t>
      </w:r>
      <w:r w:rsidRPr="00427529">
        <w:rPr>
          <w:rFonts w:ascii="Times New Roman" w:eastAsia="Times New Roman" w:hAnsi="Times New Roman"/>
          <w:sz w:val="24"/>
          <w:szCs w:val="24"/>
          <w:lang w:eastAsia="en-GB"/>
        </w:rPr>
        <w:t>Ni</w:t>
      </w:r>
      <w:r w:rsidRPr="00427529">
        <w:rPr>
          <w:rFonts w:ascii="Times New Roman" w:eastAsia="Times New Roman" w:hAnsi="Times New Roman"/>
          <w:sz w:val="24"/>
          <w:szCs w:val="24"/>
          <w:vertAlign w:val="subscript"/>
          <w:lang w:eastAsia="en-GB"/>
        </w:rPr>
        <w:t>3</w:t>
      </w:r>
      <w:r w:rsidRPr="00427529">
        <w:rPr>
          <w:rFonts w:ascii="Times New Roman" w:eastAsia="Times New Roman" w:hAnsi="Times New Roman"/>
          <w:sz w:val="24"/>
          <w:szCs w:val="24"/>
          <w:lang w:eastAsia="en-GB"/>
        </w:rPr>
        <w:t>O</w:t>
      </w:r>
      <w:r w:rsidRPr="00427529">
        <w:rPr>
          <w:rFonts w:ascii="Times New Roman" w:eastAsia="Times New Roman" w:hAnsi="Times New Roman"/>
          <w:sz w:val="24"/>
          <w:szCs w:val="24"/>
          <w:vertAlign w:val="subscript"/>
          <w:lang w:eastAsia="en-GB"/>
        </w:rPr>
        <w:t>10</w:t>
      </w:r>
      <w:r w:rsidRPr="00427529">
        <w:rPr>
          <w:rFonts w:ascii="Times New Roman" w:eastAsia="Times New Roman" w:hAnsi="Times New Roman"/>
          <w:sz w:val="24"/>
          <w:szCs w:val="24"/>
          <w:lang w:eastAsia="en-GB"/>
        </w:rPr>
        <w:t xml:space="preserve"> and exhibits </w:t>
      </w:r>
      <w:r w:rsidR="009732ED" w:rsidRPr="00427529">
        <w:rPr>
          <w:rFonts w:ascii="Times New Roman" w:eastAsia="Times New Roman" w:hAnsi="Times New Roman"/>
          <w:sz w:val="24"/>
          <w:szCs w:val="24"/>
          <w:lang w:eastAsia="en-GB"/>
        </w:rPr>
        <w:t xml:space="preserve">a </w:t>
      </w:r>
      <w:r w:rsidRPr="00427529">
        <w:rPr>
          <w:rFonts w:ascii="Times New Roman" w:eastAsia="Times New Roman" w:hAnsi="Times New Roman"/>
          <w:sz w:val="24"/>
          <w:szCs w:val="24"/>
          <w:lang w:eastAsia="en-GB"/>
        </w:rPr>
        <w:t>richness of novel magnetic features at intermediate compositions. La</w:t>
      </w:r>
      <w:r w:rsidRPr="00427529">
        <w:rPr>
          <w:rFonts w:ascii="Times New Roman" w:eastAsia="Times New Roman" w:hAnsi="Times New Roman"/>
          <w:sz w:val="24"/>
          <w:szCs w:val="24"/>
          <w:vertAlign w:val="subscript"/>
          <w:lang w:eastAsia="en-GB"/>
        </w:rPr>
        <w:t>4</w:t>
      </w:r>
      <w:r w:rsidRPr="00427529">
        <w:rPr>
          <w:rFonts w:ascii="Times New Roman" w:eastAsia="Times New Roman" w:hAnsi="Times New Roman"/>
          <w:sz w:val="24"/>
          <w:szCs w:val="24"/>
          <w:lang w:eastAsia="en-GB"/>
        </w:rPr>
        <w:t>Co</w:t>
      </w:r>
      <w:r w:rsidRPr="00427529">
        <w:rPr>
          <w:rFonts w:ascii="Times New Roman" w:eastAsia="Times New Roman" w:hAnsi="Times New Roman"/>
          <w:sz w:val="24"/>
          <w:szCs w:val="24"/>
          <w:vertAlign w:val="subscript"/>
          <w:lang w:eastAsia="en-GB"/>
        </w:rPr>
        <w:t>3</w:t>
      </w:r>
      <w:r w:rsidRPr="00427529">
        <w:rPr>
          <w:rFonts w:ascii="Times New Roman" w:eastAsia="Times New Roman" w:hAnsi="Times New Roman"/>
          <w:sz w:val="24"/>
          <w:szCs w:val="24"/>
          <w:lang w:eastAsia="en-GB"/>
        </w:rPr>
        <w:t>O</w:t>
      </w:r>
      <w:r w:rsidRPr="00427529">
        <w:rPr>
          <w:rFonts w:ascii="Times New Roman" w:eastAsia="Times New Roman" w:hAnsi="Times New Roman"/>
          <w:sz w:val="24"/>
          <w:szCs w:val="24"/>
          <w:vertAlign w:val="subscript"/>
          <w:lang w:eastAsia="en-GB"/>
        </w:rPr>
        <w:t>10</w:t>
      </w:r>
      <w:r w:rsidRPr="00427529">
        <w:rPr>
          <w:rFonts w:ascii="Times New Roman" w:eastAsia="Times New Roman" w:hAnsi="Times New Roman"/>
          <w:sz w:val="24"/>
          <w:szCs w:val="24"/>
          <w:lang w:eastAsia="en-GB"/>
        </w:rPr>
        <w:t xml:space="preserve"> transforms into a ferromagnetic state at high magnetic fields, and anomalies in susceptibility as well as hysteresis in </w:t>
      </w:r>
      <w:proofErr w:type="gramStart"/>
      <w:r w:rsidRPr="00427529">
        <w:rPr>
          <w:rFonts w:ascii="Times New Roman" w:eastAsia="Times New Roman" w:hAnsi="Times New Roman"/>
          <w:i/>
          <w:sz w:val="24"/>
          <w:szCs w:val="24"/>
          <w:lang w:eastAsia="en-GB"/>
        </w:rPr>
        <w:t>M(</w:t>
      </w:r>
      <w:proofErr w:type="gramEnd"/>
      <w:r w:rsidRPr="00427529">
        <w:rPr>
          <w:rFonts w:ascii="Times New Roman" w:eastAsia="Times New Roman" w:hAnsi="Times New Roman"/>
          <w:i/>
          <w:sz w:val="24"/>
          <w:szCs w:val="24"/>
          <w:lang w:eastAsia="en-GB"/>
        </w:rPr>
        <w:t>H)</w:t>
      </w:r>
      <w:r w:rsidRPr="00427529">
        <w:rPr>
          <w:rFonts w:ascii="Times New Roman" w:eastAsia="Times New Roman" w:hAnsi="Times New Roman"/>
          <w:sz w:val="24"/>
          <w:szCs w:val="24"/>
          <w:lang w:eastAsia="en-GB"/>
        </w:rPr>
        <w:t xml:space="preserve"> are proven to be of different origin than in LaCoO</w:t>
      </w:r>
      <w:r w:rsidRPr="00427529">
        <w:rPr>
          <w:rFonts w:ascii="Times New Roman" w:eastAsia="Times New Roman" w:hAnsi="Times New Roman"/>
          <w:sz w:val="24"/>
          <w:szCs w:val="24"/>
          <w:vertAlign w:val="subscript"/>
          <w:lang w:eastAsia="en-GB"/>
        </w:rPr>
        <w:t>3</w:t>
      </w:r>
      <w:r w:rsidRPr="00427529">
        <w:rPr>
          <w:rFonts w:ascii="Times New Roman" w:eastAsia="Times New Roman" w:hAnsi="Times New Roman"/>
          <w:sz w:val="24"/>
          <w:szCs w:val="24"/>
          <w:lang w:eastAsia="en-GB"/>
        </w:rPr>
        <w:t xml:space="preserve">, where striking features are related to surface magnetism of perturbed Co(III) octahedral sites.  </w:t>
      </w:r>
      <w:r w:rsidR="009732ED" w:rsidRPr="00427529">
        <w:rPr>
          <w:rFonts w:ascii="Times New Roman" w:eastAsia="Times New Roman" w:hAnsi="Times New Roman"/>
          <w:sz w:val="24"/>
          <w:szCs w:val="24"/>
          <w:lang w:eastAsia="en-GB"/>
        </w:rPr>
        <w:t>For finely ground powders, additional ferromagnetic like features are observed for La</w:t>
      </w:r>
      <w:r w:rsidR="009732ED" w:rsidRPr="00427529">
        <w:rPr>
          <w:rFonts w:ascii="Times New Roman" w:eastAsia="Times New Roman" w:hAnsi="Times New Roman"/>
          <w:sz w:val="24"/>
          <w:szCs w:val="24"/>
          <w:vertAlign w:val="subscript"/>
          <w:lang w:eastAsia="en-GB"/>
        </w:rPr>
        <w:t>4</w:t>
      </w:r>
      <w:r w:rsidR="009732ED" w:rsidRPr="00427529">
        <w:rPr>
          <w:rFonts w:ascii="Times New Roman" w:eastAsia="Times New Roman" w:hAnsi="Times New Roman"/>
          <w:sz w:val="24"/>
          <w:szCs w:val="24"/>
          <w:lang w:eastAsia="en-GB"/>
        </w:rPr>
        <w:t>Co</w:t>
      </w:r>
      <w:r w:rsidR="009732ED" w:rsidRPr="00427529">
        <w:rPr>
          <w:rFonts w:ascii="Times New Roman" w:eastAsia="Times New Roman" w:hAnsi="Times New Roman"/>
          <w:sz w:val="24"/>
          <w:szCs w:val="24"/>
          <w:vertAlign w:val="subscript"/>
          <w:lang w:eastAsia="en-GB"/>
        </w:rPr>
        <w:t>3</w:t>
      </w:r>
      <w:r w:rsidR="009732ED" w:rsidRPr="00427529">
        <w:rPr>
          <w:rFonts w:ascii="Times New Roman" w:eastAsia="Times New Roman" w:hAnsi="Times New Roman"/>
          <w:sz w:val="24"/>
          <w:szCs w:val="24"/>
          <w:lang w:eastAsia="en-GB"/>
        </w:rPr>
        <w:t>O</w:t>
      </w:r>
      <w:r w:rsidR="009732ED" w:rsidRPr="00427529">
        <w:rPr>
          <w:rFonts w:ascii="Times New Roman" w:eastAsia="Times New Roman" w:hAnsi="Times New Roman"/>
          <w:sz w:val="24"/>
          <w:szCs w:val="24"/>
          <w:vertAlign w:val="subscript"/>
          <w:lang w:eastAsia="en-GB"/>
        </w:rPr>
        <w:t>10</w:t>
      </w:r>
      <w:r w:rsidR="009732ED" w:rsidRPr="00427529">
        <w:rPr>
          <w:rFonts w:ascii="Times New Roman" w:eastAsia="Times New Roman" w:hAnsi="Times New Roman"/>
          <w:sz w:val="24"/>
          <w:szCs w:val="24"/>
          <w:lang w:eastAsia="en-GB"/>
        </w:rPr>
        <w:t xml:space="preserve"> below 80 K, possibly having the same origin as recently postulated for a perturbed surface structure of Co(III) in LaCoO</w:t>
      </w:r>
      <w:r w:rsidR="009732ED" w:rsidRPr="00427529">
        <w:rPr>
          <w:rFonts w:ascii="Times New Roman" w:eastAsia="Times New Roman" w:hAnsi="Times New Roman"/>
          <w:sz w:val="24"/>
          <w:szCs w:val="24"/>
          <w:vertAlign w:val="subscript"/>
          <w:lang w:eastAsia="en-GB"/>
        </w:rPr>
        <w:t>3</w:t>
      </w:r>
      <w:r w:rsidR="009732ED" w:rsidRPr="00427529">
        <w:rPr>
          <w:rFonts w:ascii="Times New Roman" w:eastAsia="Times New Roman" w:hAnsi="Times New Roman"/>
          <w:sz w:val="24"/>
          <w:szCs w:val="24"/>
          <w:lang w:eastAsia="en-GB"/>
        </w:rPr>
        <w:t>.</w:t>
      </w:r>
    </w:p>
    <w:p w:rsidR="00C2220C" w:rsidRPr="00427529" w:rsidRDefault="00C2220C" w:rsidP="00C2220C">
      <w:pPr>
        <w:pStyle w:val="Heading1"/>
        <w:numPr>
          <w:ilvl w:val="0"/>
          <w:numId w:val="25"/>
        </w:numPr>
        <w:ind w:left="426" w:hanging="426"/>
      </w:pPr>
      <w:r w:rsidRPr="00427529">
        <w:lastRenderedPageBreak/>
        <w:t>Acknowledgements</w:t>
      </w:r>
    </w:p>
    <w:p w:rsidR="00C2220C" w:rsidRPr="00427529" w:rsidRDefault="00C2220C" w:rsidP="00C2220C">
      <w:pPr>
        <w:pStyle w:val="PlainText"/>
        <w:spacing w:line="480" w:lineRule="auto"/>
        <w:jc w:val="both"/>
        <w:rPr>
          <w:rFonts w:ascii="Times New Roman" w:eastAsia="Times New Roman" w:hAnsi="Times New Roman"/>
          <w:sz w:val="24"/>
          <w:szCs w:val="24"/>
          <w:lang w:eastAsia="en-GB"/>
        </w:rPr>
      </w:pPr>
      <w:r w:rsidRPr="00427529">
        <w:rPr>
          <w:rFonts w:ascii="Times New Roman" w:eastAsia="Times New Roman" w:hAnsi="Times New Roman"/>
          <w:sz w:val="24"/>
          <w:szCs w:val="24"/>
          <w:lang w:eastAsia="en-GB"/>
        </w:rPr>
        <w:t xml:space="preserve">Henrik </w:t>
      </w:r>
      <w:proofErr w:type="spellStart"/>
      <w:r w:rsidRPr="00427529">
        <w:rPr>
          <w:rFonts w:ascii="Times New Roman" w:eastAsia="Times New Roman" w:hAnsi="Times New Roman"/>
          <w:sz w:val="24"/>
          <w:szCs w:val="24"/>
          <w:lang w:eastAsia="en-GB"/>
        </w:rPr>
        <w:t>Sønsteby</w:t>
      </w:r>
      <w:proofErr w:type="spellEnd"/>
      <w:r w:rsidRPr="00427529">
        <w:rPr>
          <w:rFonts w:ascii="Times New Roman" w:eastAsia="Times New Roman" w:hAnsi="Times New Roman"/>
          <w:sz w:val="24"/>
          <w:szCs w:val="24"/>
          <w:lang w:eastAsia="en-GB"/>
        </w:rPr>
        <w:t xml:space="preserve"> is gratefully acknowledged for assistance with operation of the PPMS instrumentation. </w:t>
      </w:r>
      <w:r w:rsidRPr="00427529">
        <w:rPr>
          <w:rFonts w:ascii="Times New Roman" w:hAnsi="Times New Roman"/>
          <w:sz w:val="24"/>
          <w:szCs w:val="24"/>
        </w:rPr>
        <w:t>Research leading to these results received funding from the Research Council of Norway (FRINATEK project 221905).</w:t>
      </w:r>
    </w:p>
    <w:p w:rsidR="00C2220C" w:rsidRPr="00427529" w:rsidRDefault="00C2220C" w:rsidP="00C2220C">
      <w:pPr>
        <w:pStyle w:val="Heading1"/>
      </w:pPr>
      <w:r w:rsidRPr="00427529">
        <w:t>References</w:t>
      </w:r>
    </w:p>
    <w:p w:rsidR="009B37B9" w:rsidRPr="00427529" w:rsidRDefault="00170DC8" w:rsidP="009B37B9">
      <w:pPr>
        <w:pStyle w:val="References"/>
        <w:ind w:left="426" w:hanging="426"/>
      </w:pPr>
      <w:r w:rsidRPr="00427529">
        <w:t>[1</w:t>
      </w:r>
      <w:proofErr w:type="gramStart"/>
      <w:r w:rsidRPr="00427529">
        <w:t xml:space="preserve">]  </w:t>
      </w:r>
      <w:proofErr w:type="spellStart"/>
      <w:r w:rsidRPr="00427529">
        <w:t>Amow</w:t>
      </w:r>
      <w:proofErr w:type="spellEnd"/>
      <w:proofErr w:type="gramEnd"/>
      <w:r w:rsidRPr="00427529">
        <w:t xml:space="preserve"> G, Au J, Davidson I. Synthesis and characterization of </w:t>
      </w:r>
      <w:r w:rsidR="009B37B9" w:rsidRPr="00427529">
        <w:t>La</w:t>
      </w:r>
      <w:r w:rsidR="009B37B9" w:rsidRPr="00427529">
        <w:rPr>
          <w:vertAlign w:val="subscript"/>
        </w:rPr>
        <w:t>4</w:t>
      </w:r>
      <w:r w:rsidR="009B37B9" w:rsidRPr="00427529">
        <w:t>Ni</w:t>
      </w:r>
      <w:r w:rsidR="009B37B9" w:rsidRPr="00427529">
        <w:rPr>
          <w:vertAlign w:val="subscript"/>
        </w:rPr>
        <w:t>3−</w:t>
      </w:r>
      <w:r w:rsidR="009B37B9" w:rsidRPr="00277E9B">
        <w:rPr>
          <w:i/>
          <w:vertAlign w:val="subscript"/>
        </w:rPr>
        <w:t>x</w:t>
      </w:r>
      <w:r w:rsidR="009B37B9" w:rsidRPr="00427529">
        <w:t>Co</w:t>
      </w:r>
      <w:r w:rsidR="009B37B9" w:rsidRPr="00277E9B">
        <w:rPr>
          <w:i/>
          <w:vertAlign w:val="subscript"/>
        </w:rPr>
        <w:t>x</w:t>
      </w:r>
      <w:r w:rsidR="009B37B9" w:rsidRPr="00427529">
        <w:t>O</w:t>
      </w:r>
      <w:r w:rsidR="009B37B9" w:rsidRPr="00427529">
        <w:rPr>
          <w:vertAlign w:val="subscript"/>
        </w:rPr>
        <w:t>10±</w:t>
      </w:r>
      <w:r w:rsidR="009B37B9" w:rsidRPr="0077519C">
        <w:rPr>
          <w:i/>
          <w:vertAlign w:val="subscript"/>
        </w:rPr>
        <w:t>δ</w:t>
      </w:r>
      <w:r w:rsidR="009B37B9" w:rsidRPr="00427529">
        <w:t xml:space="preserve"> </w:t>
      </w:r>
    </w:p>
    <w:p w:rsidR="00170DC8" w:rsidRPr="00427529" w:rsidRDefault="009B37B9" w:rsidP="009B37B9">
      <w:pPr>
        <w:pStyle w:val="References"/>
        <w:ind w:left="426" w:hanging="426"/>
      </w:pPr>
      <w:r w:rsidRPr="00427529">
        <w:t xml:space="preserve"> </w:t>
      </w:r>
      <w:r w:rsidRPr="00427529">
        <w:tab/>
      </w:r>
      <w:r w:rsidR="00170DC8" w:rsidRPr="00427529">
        <w:t xml:space="preserve">(0.0 ≤ </w:t>
      </w:r>
      <w:r w:rsidR="00170DC8" w:rsidRPr="0077519C">
        <w:rPr>
          <w:i/>
        </w:rPr>
        <w:t>x</w:t>
      </w:r>
      <w:r w:rsidR="00170DC8" w:rsidRPr="00427529">
        <w:t xml:space="preserve"> ≤ 3.0, </w:t>
      </w:r>
      <w:proofErr w:type="spellStart"/>
      <w:r w:rsidR="00170DC8" w:rsidRPr="00427529">
        <w:t>Δ</w:t>
      </w:r>
      <w:r w:rsidR="00170DC8" w:rsidRPr="0077519C">
        <w:rPr>
          <w:i/>
        </w:rPr>
        <w:t>x</w:t>
      </w:r>
      <w:proofErr w:type="spellEnd"/>
      <w:r w:rsidR="00170DC8" w:rsidRPr="00427529">
        <w:t xml:space="preserve"> = 0.2) for solid oxide fuel cell cathodes. </w:t>
      </w:r>
      <w:proofErr w:type="gramStart"/>
      <w:r w:rsidR="00170DC8" w:rsidRPr="00427529">
        <w:t>Solid State Ionics.</w:t>
      </w:r>
      <w:proofErr w:type="gramEnd"/>
      <w:r w:rsidR="00170DC8" w:rsidRPr="00427529">
        <w:t xml:space="preserve"> 2006</w:t>
      </w:r>
      <w:proofErr w:type="gramStart"/>
      <w:r w:rsidR="00170DC8" w:rsidRPr="00427529">
        <w:t>;177</w:t>
      </w:r>
      <w:proofErr w:type="gramEnd"/>
      <w:r w:rsidR="00170DC8" w:rsidRPr="00427529">
        <w:t>;1837-1841</w:t>
      </w:r>
    </w:p>
    <w:p w:rsidR="00170DC8" w:rsidRPr="00427529" w:rsidRDefault="00170DC8" w:rsidP="00170DC8">
      <w:pPr>
        <w:pStyle w:val="References"/>
        <w:ind w:left="426" w:hanging="426"/>
      </w:pPr>
      <w:r w:rsidRPr="00427529">
        <w:t xml:space="preserve">[2]  </w:t>
      </w:r>
      <w:proofErr w:type="spellStart"/>
      <w:r w:rsidRPr="00427529">
        <w:t>Yoo</w:t>
      </w:r>
      <w:proofErr w:type="spellEnd"/>
      <w:r w:rsidRPr="00427529">
        <w:t xml:space="preserve"> S, Choi S, Shin J, Liu M, Kim G. Electrical properties, thermodynamic </w:t>
      </w:r>
      <w:proofErr w:type="spellStart"/>
      <w:r w:rsidRPr="00427529">
        <w:t>behavior</w:t>
      </w:r>
      <w:proofErr w:type="spellEnd"/>
      <w:r w:rsidRPr="00427529">
        <w:t>, and defect analysis of La</w:t>
      </w:r>
      <w:r w:rsidRPr="0077519C">
        <w:rPr>
          <w:i/>
          <w:vertAlign w:val="subscript"/>
        </w:rPr>
        <w:t>n</w:t>
      </w:r>
      <w:r w:rsidRPr="00427529">
        <w:rPr>
          <w:vertAlign w:val="subscript"/>
        </w:rPr>
        <w:t>+1</w:t>
      </w:r>
      <w:r w:rsidRPr="00427529">
        <w:t>Ni</w:t>
      </w:r>
      <w:r w:rsidRPr="0077519C">
        <w:rPr>
          <w:i/>
          <w:vertAlign w:val="subscript"/>
        </w:rPr>
        <w:t>n</w:t>
      </w:r>
      <w:r w:rsidRPr="00427529">
        <w:t>O</w:t>
      </w:r>
      <w:r w:rsidRPr="00427529">
        <w:rPr>
          <w:vertAlign w:val="subscript"/>
        </w:rPr>
        <w:t>3</w:t>
      </w:r>
      <w:r w:rsidRPr="0077519C">
        <w:rPr>
          <w:i/>
          <w:vertAlign w:val="subscript"/>
        </w:rPr>
        <w:t>n</w:t>
      </w:r>
      <w:r w:rsidRPr="00427529">
        <w:rPr>
          <w:vertAlign w:val="subscript"/>
        </w:rPr>
        <w:t>+1+</w:t>
      </w:r>
      <w:r w:rsidRPr="0077519C">
        <w:rPr>
          <w:i/>
          <w:vertAlign w:val="subscript"/>
        </w:rPr>
        <w:t>d</w:t>
      </w:r>
      <w:r w:rsidRPr="00427529">
        <w:t xml:space="preserve"> infiltrated into YSZ scaffolds as cathodes for intermediate-temperature SOFCs. </w:t>
      </w:r>
      <w:proofErr w:type="gramStart"/>
      <w:r w:rsidRPr="00427529">
        <w:t>RCS Advances.</w:t>
      </w:r>
      <w:proofErr w:type="gramEnd"/>
      <w:r w:rsidRPr="00427529">
        <w:t xml:space="preserve"> 2012</w:t>
      </w:r>
      <w:proofErr w:type="gramStart"/>
      <w:r w:rsidRPr="00427529">
        <w:t>;2</w:t>
      </w:r>
      <w:proofErr w:type="gramEnd"/>
      <w:r w:rsidRPr="00427529">
        <w:t>;4648-4655</w:t>
      </w:r>
    </w:p>
    <w:p w:rsidR="00170DC8" w:rsidRPr="00427529" w:rsidRDefault="00170DC8" w:rsidP="00170DC8">
      <w:pPr>
        <w:pStyle w:val="References"/>
        <w:ind w:left="426" w:hanging="426"/>
      </w:pPr>
      <w:r w:rsidRPr="00427529">
        <w:t>[3</w:t>
      </w:r>
      <w:proofErr w:type="gramStart"/>
      <w:r w:rsidRPr="00427529">
        <w:t xml:space="preserve">]  </w:t>
      </w:r>
      <w:proofErr w:type="spellStart"/>
      <w:r w:rsidRPr="00427529">
        <w:t>Hansteen</w:t>
      </w:r>
      <w:proofErr w:type="spellEnd"/>
      <w:proofErr w:type="gramEnd"/>
      <w:r w:rsidRPr="00427529">
        <w:t xml:space="preserve"> OH, </w:t>
      </w:r>
      <w:proofErr w:type="spellStart"/>
      <w:r w:rsidRPr="00427529">
        <w:t>Fjellvåg</w:t>
      </w:r>
      <w:proofErr w:type="spellEnd"/>
      <w:r w:rsidRPr="00427529">
        <w:t xml:space="preserve"> H. Synthesis, Crystal Structure, and Magnetic Properties of La</w:t>
      </w:r>
      <w:r w:rsidRPr="00427529">
        <w:rPr>
          <w:vertAlign w:val="subscript"/>
        </w:rPr>
        <w:t>4</w:t>
      </w:r>
      <w:r w:rsidRPr="00427529">
        <w:t>Co</w:t>
      </w:r>
      <w:r w:rsidRPr="00427529">
        <w:rPr>
          <w:vertAlign w:val="subscript"/>
        </w:rPr>
        <w:t>3</w:t>
      </w:r>
      <w:r w:rsidRPr="00427529">
        <w:t>O</w:t>
      </w:r>
      <w:r w:rsidRPr="00427529">
        <w:rPr>
          <w:vertAlign w:val="subscript"/>
        </w:rPr>
        <w:t>10+</w:t>
      </w:r>
      <w:r w:rsidRPr="0077519C">
        <w:rPr>
          <w:i/>
          <w:vertAlign w:val="subscript"/>
        </w:rPr>
        <w:t>δ</w:t>
      </w:r>
      <w:r w:rsidRPr="00427529">
        <w:t xml:space="preserve"> (0.00 ≤ </w:t>
      </w:r>
      <w:r w:rsidRPr="0077519C">
        <w:rPr>
          <w:i/>
        </w:rPr>
        <w:t>δ</w:t>
      </w:r>
      <w:r w:rsidRPr="00427529">
        <w:t xml:space="preserve"> ≤ 0.30). J Solid State Chem. 1998</w:t>
      </w:r>
      <w:proofErr w:type="gramStart"/>
      <w:r w:rsidRPr="00427529">
        <w:t>;141</w:t>
      </w:r>
      <w:proofErr w:type="gramEnd"/>
      <w:r w:rsidRPr="00427529">
        <w:t>;212-220</w:t>
      </w:r>
    </w:p>
    <w:p w:rsidR="00170DC8" w:rsidRPr="00427529" w:rsidRDefault="00170DC8" w:rsidP="00170DC8">
      <w:pPr>
        <w:pStyle w:val="References"/>
        <w:ind w:left="426" w:hanging="426"/>
      </w:pPr>
      <w:r w:rsidRPr="00427529">
        <w:t>[4</w:t>
      </w:r>
      <w:proofErr w:type="gramStart"/>
      <w:r w:rsidRPr="00427529">
        <w:t>]  Zhang</w:t>
      </w:r>
      <w:proofErr w:type="gramEnd"/>
      <w:r w:rsidRPr="00427529">
        <w:t xml:space="preserve"> Z, Greenblatt M. Synthesis, Structure, and Properties of Ln</w:t>
      </w:r>
      <w:r w:rsidRPr="00427529">
        <w:rPr>
          <w:vertAlign w:val="subscript"/>
        </w:rPr>
        <w:t>4</w:t>
      </w:r>
      <w:r w:rsidRPr="00427529">
        <w:t>Ni</w:t>
      </w:r>
      <w:r w:rsidRPr="00427529">
        <w:rPr>
          <w:vertAlign w:val="subscript"/>
        </w:rPr>
        <w:t>3</w:t>
      </w:r>
      <w:r w:rsidRPr="00427529">
        <w:t>O</w:t>
      </w:r>
      <w:r w:rsidRPr="00427529">
        <w:rPr>
          <w:vertAlign w:val="subscript"/>
        </w:rPr>
        <w:t>10-</w:t>
      </w:r>
      <w:r w:rsidRPr="0077519C">
        <w:rPr>
          <w:i/>
          <w:vertAlign w:val="subscript"/>
        </w:rPr>
        <w:t>δ</w:t>
      </w:r>
      <w:r w:rsidRPr="00427529">
        <w:t xml:space="preserve"> (Ln = La, </w:t>
      </w:r>
      <w:proofErr w:type="spellStart"/>
      <w:r w:rsidRPr="00427529">
        <w:t>Pr</w:t>
      </w:r>
      <w:proofErr w:type="spellEnd"/>
      <w:r w:rsidRPr="00427529">
        <w:t xml:space="preserve">, and </w:t>
      </w:r>
      <w:proofErr w:type="spellStart"/>
      <w:r w:rsidRPr="00427529">
        <w:t>Nd</w:t>
      </w:r>
      <w:proofErr w:type="spellEnd"/>
      <w:r w:rsidRPr="00427529">
        <w:t>), J Solid State Chem. 1995;117;236-246</w:t>
      </w:r>
    </w:p>
    <w:p w:rsidR="00170DC8" w:rsidRPr="00427529" w:rsidRDefault="00170DC8" w:rsidP="00170DC8">
      <w:pPr>
        <w:pStyle w:val="References"/>
        <w:ind w:left="426" w:hanging="426"/>
      </w:pPr>
      <w:r w:rsidRPr="00427529">
        <w:t>[5</w:t>
      </w:r>
      <w:proofErr w:type="gramStart"/>
      <w:r w:rsidRPr="00427529">
        <w:t xml:space="preserve">]  </w:t>
      </w:r>
      <w:proofErr w:type="spellStart"/>
      <w:r w:rsidRPr="00427529">
        <w:t>Goodenough</w:t>
      </w:r>
      <w:proofErr w:type="spellEnd"/>
      <w:proofErr w:type="gramEnd"/>
      <w:r w:rsidRPr="00427529">
        <w:t xml:space="preserve"> JB, </w:t>
      </w:r>
      <w:proofErr w:type="spellStart"/>
      <w:r w:rsidRPr="00427529">
        <w:t>Raccah</w:t>
      </w:r>
      <w:proofErr w:type="spellEnd"/>
      <w:r w:rsidRPr="00427529">
        <w:t xml:space="preserve"> PM. Complex vs Band Formation in </w:t>
      </w:r>
      <w:proofErr w:type="spellStart"/>
      <w:r w:rsidRPr="00427529">
        <w:t>Perovskite</w:t>
      </w:r>
      <w:proofErr w:type="spellEnd"/>
      <w:r w:rsidRPr="00427529">
        <w:t xml:space="preserve"> oxides. J </w:t>
      </w:r>
      <w:proofErr w:type="spellStart"/>
      <w:r w:rsidRPr="00427529">
        <w:t>Appl</w:t>
      </w:r>
      <w:proofErr w:type="spellEnd"/>
      <w:r w:rsidRPr="00427529">
        <w:t xml:space="preserve"> Phys. 1965</w:t>
      </w:r>
      <w:proofErr w:type="gramStart"/>
      <w:r w:rsidRPr="00427529">
        <w:t>;36</w:t>
      </w:r>
      <w:proofErr w:type="gramEnd"/>
      <w:r w:rsidRPr="00427529">
        <w:t>;1031-1032</w:t>
      </w:r>
    </w:p>
    <w:p w:rsidR="00170DC8" w:rsidRPr="00427529" w:rsidRDefault="00170DC8" w:rsidP="00170DC8">
      <w:pPr>
        <w:pStyle w:val="References"/>
        <w:ind w:left="426" w:hanging="426"/>
      </w:pPr>
      <w:r w:rsidRPr="00427529">
        <w:t xml:space="preserve">[6]  </w:t>
      </w:r>
      <w:proofErr w:type="spellStart"/>
      <w:r w:rsidRPr="00427529">
        <w:t>Fjellvåg</w:t>
      </w:r>
      <w:proofErr w:type="spellEnd"/>
      <w:r w:rsidRPr="00427529">
        <w:t xml:space="preserve"> H, </w:t>
      </w:r>
      <w:proofErr w:type="spellStart"/>
      <w:r w:rsidRPr="00427529">
        <w:t>Hansteen</w:t>
      </w:r>
      <w:proofErr w:type="spellEnd"/>
      <w:r w:rsidRPr="00427529">
        <w:t xml:space="preserve"> OH, </w:t>
      </w:r>
      <w:proofErr w:type="spellStart"/>
      <w:r w:rsidRPr="00427529">
        <w:t>Hauback</w:t>
      </w:r>
      <w:proofErr w:type="spellEnd"/>
      <w:r w:rsidRPr="00427529">
        <w:t xml:space="preserve"> BC, Fischer P. Structural deformation and non-</w:t>
      </w:r>
      <w:proofErr w:type="spellStart"/>
      <w:r w:rsidRPr="00427529">
        <w:t>stiochiometry</w:t>
      </w:r>
      <w:proofErr w:type="spellEnd"/>
      <w:r w:rsidRPr="00427529">
        <w:t xml:space="preserve"> of La</w:t>
      </w:r>
      <w:r w:rsidRPr="00427529">
        <w:rPr>
          <w:vertAlign w:val="subscript"/>
        </w:rPr>
        <w:t>4</w:t>
      </w:r>
      <w:r w:rsidRPr="00427529">
        <w:t>Co</w:t>
      </w:r>
      <w:r w:rsidRPr="00427529">
        <w:rPr>
          <w:vertAlign w:val="subscript"/>
        </w:rPr>
        <w:t>3</w:t>
      </w:r>
      <w:r w:rsidRPr="00427529">
        <w:t>O</w:t>
      </w:r>
      <w:r w:rsidRPr="00427529">
        <w:rPr>
          <w:vertAlign w:val="subscript"/>
        </w:rPr>
        <w:t>10+</w:t>
      </w:r>
      <w:r w:rsidRPr="0077519C">
        <w:rPr>
          <w:i/>
          <w:vertAlign w:val="subscript"/>
        </w:rPr>
        <w:t>δ</w:t>
      </w:r>
      <w:r w:rsidRPr="00427529">
        <w:t>. J Mater Chem. 2000;10;749-754</w:t>
      </w:r>
    </w:p>
    <w:p w:rsidR="00170DC8" w:rsidRPr="00427529" w:rsidRDefault="00170DC8" w:rsidP="00170DC8">
      <w:pPr>
        <w:pStyle w:val="References"/>
        <w:ind w:left="426" w:hanging="426"/>
      </w:pPr>
      <w:r w:rsidRPr="00427529">
        <w:t>[7</w:t>
      </w:r>
      <w:proofErr w:type="gramStart"/>
      <w:r w:rsidRPr="00427529">
        <w:t xml:space="preserve">]  </w:t>
      </w:r>
      <w:proofErr w:type="spellStart"/>
      <w:r w:rsidRPr="00427529">
        <w:t>Olafsen</w:t>
      </w:r>
      <w:proofErr w:type="spellEnd"/>
      <w:proofErr w:type="gramEnd"/>
      <w:r w:rsidRPr="00427529">
        <w:t xml:space="preserve"> A, </w:t>
      </w:r>
      <w:proofErr w:type="spellStart"/>
      <w:r w:rsidRPr="00427529">
        <w:t>Fjellvåg</w:t>
      </w:r>
      <w:proofErr w:type="spellEnd"/>
      <w:r w:rsidRPr="00427529">
        <w:t xml:space="preserve"> H, </w:t>
      </w:r>
      <w:proofErr w:type="spellStart"/>
      <w:r w:rsidRPr="00427529">
        <w:t>Hauback</w:t>
      </w:r>
      <w:proofErr w:type="spellEnd"/>
      <w:r w:rsidRPr="00427529">
        <w:t xml:space="preserve"> BC. </w:t>
      </w:r>
      <w:proofErr w:type="gramStart"/>
      <w:r w:rsidRPr="00427529">
        <w:t>Crystal Structure and Properties of Nd</w:t>
      </w:r>
      <w:r w:rsidRPr="00427529">
        <w:rPr>
          <w:vertAlign w:val="subscript"/>
        </w:rPr>
        <w:t>4</w:t>
      </w:r>
      <w:r w:rsidRPr="00427529">
        <w:t>Co</w:t>
      </w:r>
      <w:r w:rsidRPr="00427529">
        <w:rPr>
          <w:vertAlign w:val="subscript"/>
        </w:rPr>
        <w:t>3</w:t>
      </w:r>
      <w:r w:rsidRPr="00427529">
        <w:t>O</w:t>
      </w:r>
      <w:r w:rsidRPr="00427529">
        <w:rPr>
          <w:vertAlign w:val="subscript"/>
        </w:rPr>
        <w:t>10+</w:t>
      </w:r>
      <w:r w:rsidRPr="0077519C">
        <w:rPr>
          <w:i/>
          <w:vertAlign w:val="subscript"/>
        </w:rPr>
        <w:t>δ</w:t>
      </w:r>
      <w:r w:rsidRPr="00427529">
        <w:t xml:space="preserve"> and Nd</w:t>
      </w:r>
      <w:r w:rsidRPr="00427529">
        <w:rPr>
          <w:vertAlign w:val="subscript"/>
        </w:rPr>
        <w:t>4</w:t>
      </w:r>
      <w:r w:rsidRPr="00427529">
        <w:t>Ni</w:t>
      </w:r>
      <w:r w:rsidRPr="00427529">
        <w:rPr>
          <w:vertAlign w:val="subscript"/>
        </w:rPr>
        <w:t>3</w:t>
      </w:r>
      <w:r w:rsidRPr="00427529">
        <w:t>O</w:t>
      </w:r>
      <w:r w:rsidRPr="00427529">
        <w:rPr>
          <w:vertAlign w:val="subscript"/>
        </w:rPr>
        <w:t>10-</w:t>
      </w:r>
      <w:r w:rsidRPr="0077519C">
        <w:rPr>
          <w:i/>
          <w:vertAlign w:val="subscript"/>
        </w:rPr>
        <w:t>δ</w:t>
      </w:r>
      <w:r w:rsidRPr="00427529">
        <w:t>.</w:t>
      </w:r>
      <w:proofErr w:type="gramEnd"/>
      <w:r w:rsidRPr="00427529">
        <w:t xml:space="preserve"> J Solid State Chem. 2000</w:t>
      </w:r>
      <w:proofErr w:type="gramStart"/>
      <w:r w:rsidRPr="00427529">
        <w:t>;151</w:t>
      </w:r>
      <w:proofErr w:type="gramEnd"/>
      <w:r w:rsidRPr="00427529">
        <w:t>;46-55</w:t>
      </w:r>
    </w:p>
    <w:p w:rsidR="00170DC8" w:rsidRPr="00427529" w:rsidRDefault="00170DC8" w:rsidP="00170DC8">
      <w:pPr>
        <w:pStyle w:val="References"/>
        <w:ind w:left="426" w:hanging="426"/>
      </w:pPr>
      <w:r w:rsidRPr="00427529">
        <w:t xml:space="preserve">[8]  </w:t>
      </w:r>
      <w:proofErr w:type="spellStart"/>
      <w:r w:rsidRPr="00427529">
        <w:t>Tkalich</w:t>
      </w:r>
      <w:proofErr w:type="spellEnd"/>
      <w:r w:rsidRPr="00427529">
        <w:t xml:space="preserve"> AK, </w:t>
      </w:r>
      <w:proofErr w:type="spellStart"/>
      <w:r w:rsidRPr="00427529">
        <w:t>Glazkov</w:t>
      </w:r>
      <w:proofErr w:type="spellEnd"/>
      <w:r w:rsidRPr="00427529">
        <w:t xml:space="preserve"> VP, </w:t>
      </w:r>
      <w:proofErr w:type="spellStart"/>
      <w:r w:rsidRPr="00427529">
        <w:t>Somenkov</w:t>
      </w:r>
      <w:proofErr w:type="spellEnd"/>
      <w:r w:rsidRPr="00427529">
        <w:t xml:space="preserve"> VA, </w:t>
      </w:r>
      <w:proofErr w:type="spellStart"/>
      <w:r w:rsidRPr="00427529">
        <w:t>Shil’shtein</w:t>
      </w:r>
      <w:proofErr w:type="spellEnd"/>
      <w:r w:rsidRPr="00427529">
        <w:t xml:space="preserve"> SS, </w:t>
      </w:r>
      <w:proofErr w:type="spellStart"/>
      <w:r w:rsidRPr="00427529">
        <w:t>Kar’kin</w:t>
      </w:r>
      <w:proofErr w:type="spellEnd"/>
      <w:r w:rsidRPr="00427529">
        <w:t xml:space="preserve"> AE, </w:t>
      </w:r>
      <w:proofErr w:type="spellStart"/>
      <w:r w:rsidRPr="00427529">
        <w:t>Mirmel’shtein</w:t>
      </w:r>
      <w:proofErr w:type="spellEnd"/>
      <w:r w:rsidRPr="00427529">
        <w:t xml:space="preserve"> AV, Synthesis, structure, and properties of </w:t>
      </w:r>
      <w:proofErr w:type="spellStart"/>
      <w:r w:rsidRPr="00427529">
        <w:t>nickelates</w:t>
      </w:r>
      <w:proofErr w:type="spellEnd"/>
      <w:r w:rsidRPr="00427529">
        <w:t xml:space="preserve"> R</w:t>
      </w:r>
      <w:r w:rsidRPr="00427529">
        <w:rPr>
          <w:vertAlign w:val="subscript"/>
        </w:rPr>
        <w:t>4</w:t>
      </w:r>
      <w:r w:rsidRPr="00427529">
        <w:t>Ni</w:t>
      </w:r>
      <w:r w:rsidRPr="00427529">
        <w:rPr>
          <w:vertAlign w:val="subscript"/>
        </w:rPr>
        <w:t>3</w:t>
      </w:r>
      <w:r w:rsidRPr="00427529">
        <w:t>O</w:t>
      </w:r>
      <w:r w:rsidRPr="00427529">
        <w:rPr>
          <w:vertAlign w:val="subscript"/>
        </w:rPr>
        <w:t>10</w:t>
      </w:r>
      <w:r w:rsidRPr="00427529">
        <w:t xml:space="preserve"> (R = </w:t>
      </w:r>
      <w:proofErr w:type="spellStart"/>
      <w:r w:rsidRPr="00427529">
        <w:t>Nd</w:t>
      </w:r>
      <w:proofErr w:type="spellEnd"/>
      <w:r w:rsidRPr="00427529">
        <w:t xml:space="preserve">, </w:t>
      </w:r>
      <w:proofErr w:type="spellStart"/>
      <w:r w:rsidRPr="00427529">
        <w:t>Pr</w:t>
      </w:r>
      <w:proofErr w:type="spellEnd"/>
      <w:r w:rsidRPr="00427529">
        <w:t xml:space="preserve">, La). </w:t>
      </w:r>
      <w:proofErr w:type="gramStart"/>
      <w:r w:rsidRPr="00427529">
        <w:t>Superconductivity.</w:t>
      </w:r>
      <w:proofErr w:type="gramEnd"/>
      <w:r w:rsidRPr="00427529">
        <w:t xml:space="preserve"> 1991</w:t>
      </w:r>
      <w:proofErr w:type="gramStart"/>
      <w:r w:rsidRPr="00427529">
        <w:t>;4</w:t>
      </w:r>
      <w:proofErr w:type="gramEnd"/>
      <w:r w:rsidRPr="00427529">
        <w:t>;2280-2286</w:t>
      </w:r>
    </w:p>
    <w:p w:rsidR="00170DC8" w:rsidRPr="00427529" w:rsidRDefault="00170DC8" w:rsidP="00170DC8">
      <w:pPr>
        <w:pStyle w:val="References"/>
        <w:ind w:left="426" w:hanging="426"/>
      </w:pPr>
      <w:r w:rsidRPr="00427529">
        <w:t xml:space="preserve">[9]  </w:t>
      </w:r>
      <w:proofErr w:type="spellStart"/>
      <w:r w:rsidRPr="00427529">
        <w:t>Carvalho</w:t>
      </w:r>
      <w:proofErr w:type="spellEnd"/>
      <w:r w:rsidRPr="00427529">
        <w:t xml:space="preserve"> MD, Cruz MM, </w:t>
      </w:r>
      <w:proofErr w:type="spellStart"/>
      <w:r w:rsidRPr="00427529">
        <w:t>Wattiaux</w:t>
      </w:r>
      <w:proofErr w:type="spellEnd"/>
      <w:r w:rsidRPr="00427529">
        <w:t xml:space="preserve"> A, </w:t>
      </w:r>
      <w:proofErr w:type="spellStart"/>
      <w:r w:rsidRPr="00427529">
        <w:t>Bassat</w:t>
      </w:r>
      <w:proofErr w:type="spellEnd"/>
      <w:r w:rsidRPr="00427529">
        <w:t xml:space="preserve"> JM, Costa FMA, </w:t>
      </w:r>
      <w:proofErr w:type="spellStart"/>
      <w:r w:rsidRPr="00427529">
        <w:t>Godinho</w:t>
      </w:r>
      <w:proofErr w:type="spellEnd"/>
      <w:r w:rsidRPr="00427529">
        <w:t xml:space="preserve"> M. Influence of oxygen stoichiometry on the electronic properties of La</w:t>
      </w:r>
      <w:r w:rsidRPr="00427529">
        <w:rPr>
          <w:vertAlign w:val="subscript"/>
        </w:rPr>
        <w:t>4</w:t>
      </w:r>
      <w:r w:rsidRPr="00427529">
        <w:t>Ni</w:t>
      </w:r>
      <w:r w:rsidRPr="00427529">
        <w:rPr>
          <w:vertAlign w:val="subscript"/>
        </w:rPr>
        <w:t>3</w:t>
      </w:r>
      <w:r w:rsidRPr="00427529">
        <w:t>O</w:t>
      </w:r>
      <w:r w:rsidRPr="00427529">
        <w:rPr>
          <w:vertAlign w:val="subscript"/>
        </w:rPr>
        <w:t>10</w:t>
      </w:r>
      <w:r w:rsidRPr="00427529">
        <w:rPr>
          <w:u w:val="single"/>
          <w:vertAlign w:val="subscript"/>
        </w:rPr>
        <w:t>+</w:t>
      </w:r>
      <w:r w:rsidRPr="0077519C">
        <w:rPr>
          <w:i/>
          <w:vertAlign w:val="subscript"/>
        </w:rPr>
        <w:t>δ</w:t>
      </w:r>
      <w:r w:rsidRPr="00427529">
        <w:t>. J Applied Phys. 2000;88;544-549</w:t>
      </w:r>
    </w:p>
    <w:p w:rsidR="00170DC8" w:rsidRPr="00427529" w:rsidRDefault="00170DC8" w:rsidP="00170DC8">
      <w:pPr>
        <w:pStyle w:val="References"/>
        <w:ind w:left="426" w:hanging="426"/>
      </w:pPr>
      <w:r w:rsidRPr="00427529">
        <w:t xml:space="preserve">[10] Pawley GS, Unit-Cell Refinement </w:t>
      </w:r>
      <w:proofErr w:type="gramStart"/>
      <w:r w:rsidRPr="00427529">
        <w:t>From</w:t>
      </w:r>
      <w:proofErr w:type="gramEnd"/>
      <w:r w:rsidRPr="00427529">
        <w:t xml:space="preserve"> Powder Diffraction Scans. </w:t>
      </w:r>
      <w:proofErr w:type="gramStart"/>
      <w:r w:rsidRPr="00427529">
        <w:t xml:space="preserve">J </w:t>
      </w:r>
      <w:proofErr w:type="spellStart"/>
      <w:r w:rsidRPr="00427529">
        <w:t>Appl</w:t>
      </w:r>
      <w:proofErr w:type="spellEnd"/>
      <w:r w:rsidRPr="00427529">
        <w:t xml:space="preserve"> </w:t>
      </w:r>
      <w:proofErr w:type="spellStart"/>
      <w:r w:rsidRPr="00427529">
        <w:t>Cryst</w:t>
      </w:r>
      <w:proofErr w:type="spellEnd"/>
      <w:r w:rsidRPr="00427529">
        <w:t>.</w:t>
      </w:r>
      <w:proofErr w:type="gramEnd"/>
      <w:r w:rsidRPr="00427529">
        <w:t xml:space="preserve"> 1981</w:t>
      </w:r>
      <w:proofErr w:type="gramStart"/>
      <w:r w:rsidRPr="00427529">
        <w:t>;14</w:t>
      </w:r>
      <w:proofErr w:type="gramEnd"/>
      <w:r w:rsidRPr="00427529">
        <w:t>;357-361</w:t>
      </w:r>
    </w:p>
    <w:p w:rsidR="00557B04" w:rsidRDefault="00170DC8" w:rsidP="00170DC8">
      <w:pPr>
        <w:pStyle w:val="References"/>
        <w:ind w:left="426" w:hanging="426"/>
      </w:pPr>
      <w:r w:rsidRPr="00427529">
        <w:t xml:space="preserve">[11] </w:t>
      </w:r>
      <w:r w:rsidR="00190CC2">
        <w:t xml:space="preserve">Coelho AA. </w:t>
      </w:r>
      <w:proofErr w:type="gramStart"/>
      <w:r w:rsidR="00190CC2">
        <w:t>TOPAS.</w:t>
      </w:r>
      <w:proofErr w:type="gramEnd"/>
      <w:r w:rsidR="00190CC2">
        <w:t xml:space="preserve"> </w:t>
      </w:r>
      <w:proofErr w:type="gramStart"/>
      <w:r w:rsidR="00190CC2">
        <w:t>Version 4.2.</w:t>
      </w:r>
      <w:proofErr w:type="gramEnd"/>
      <w:r w:rsidR="00190CC2">
        <w:t xml:space="preserve"> BRUKER AXS: Germany; 2009</w:t>
      </w:r>
    </w:p>
    <w:p w:rsidR="00170DC8" w:rsidRPr="00427529" w:rsidRDefault="00170DC8" w:rsidP="00170DC8">
      <w:pPr>
        <w:pStyle w:val="References"/>
        <w:ind w:left="426" w:hanging="426"/>
      </w:pPr>
      <w:r w:rsidRPr="00190CC2">
        <w:rPr>
          <w:lang w:val="de-DE"/>
        </w:rPr>
        <w:lastRenderedPageBreak/>
        <w:t xml:space="preserve">[12] </w:t>
      </w:r>
      <w:r w:rsidR="00190CC2" w:rsidRPr="00190CC2">
        <w:rPr>
          <w:lang w:val="de-DE"/>
        </w:rPr>
        <w:t xml:space="preserve">Larson AC, Von </w:t>
      </w:r>
      <w:proofErr w:type="spellStart"/>
      <w:r w:rsidR="00190CC2" w:rsidRPr="00190CC2">
        <w:rPr>
          <w:lang w:val="de-DE"/>
        </w:rPr>
        <w:t>Dreele</w:t>
      </w:r>
      <w:proofErr w:type="spellEnd"/>
      <w:r w:rsidR="00190CC2" w:rsidRPr="00190CC2">
        <w:rPr>
          <w:lang w:val="de-DE"/>
        </w:rPr>
        <w:t xml:space="preserve"> RB. </w:t>
      </w:r>
      <w:proofErr w:type="gramStart"/>
      <w:r w:rsidR="00190CC2">
        <w:t>General Structure Analysis System (GSAS).</w:t>
      </w:r>
      <w:proofErr w:type="gramEnd"/>
      <w:r w:rsidR="00190CC2">
        <w:t xml:space="preserve"> Los Alamos National Laboratory: LAUR 86-748; 1994</w:t>
      </w:r>
    </w:p>
    <w:p w:rsidR="00170DC8" w:rsidRPr="00427529" w:rsidRDefault="00A148DC" w:rsidP="00170DC8">
      <w:pPr>
        <w:pStyle w:val="References"/>
        <w:ind w:left="426" w:hanging="426"/>
      </w:pPr>
      <w:r w:rsidRPr="00427529">
        <w:t>[1</w:t>
      </w:r>
      <w:r w:rsidR="00557B04">
        <w:t>3</w:t>
      </w:r>
      <w:r w:rsidRPr="00427529">
        <w:t>]</w:t>
      </w:r>
      <w:r w:rsidR="00170DC8" w:rsidRPr="00427529">
        <w:t xml:space="preserve"> </w:t>
      </w:r>
      <w:proofErr w:type="spellStart"/>
      <w:r w:rsidR="00170DC8" w:rsidRPr="00427529">
        <w:t>Heikes</w:t>
      </w:r>
      <w:proofErr w:type="spellEnd"/>
      <w:r w:rsidR="00170DC8" w:rsidRPr="00427529">
        <w:t xml:space="preserve"> RR, Miller, RC, </w:t>
      </w:r>
      <w:proofErr w:type="spellStart"/>
      <w:r w:rsidR="00170DC8" w:rsidRPr="00427529">
        <w:t>Mazelsky</w:t>
      </w:r>
      <w:proofErr w:type="spellEnd"/>
      <w:r w:rsidR="00170DC8" w:rsidRPr="00427529">
        <w:t xml:space="preserve"> R. Magnetic and electrical anomalies in LaCoO</w:t>
      </w:r>
      <w:r w:rsidR="00170DC8" w:rsidRPr="00427529">
        <w:rPr>
          <w:vertAlign w:val="subscript"/>
        </w:rPr>
        <w:t>3</w:t>
      </w:r>
      <w:r w:rsidR="00170DC8" w:rsidRPr="00427529">
        <w:t xml:space="preserve">. </w:t>
      </w:r>
      <w:proofErr w:type="spellStart"/>
      <w:proofErr w:type="gramStart"/>
      <w:r w:rsidR="00170DC8" w:rsidRPr="00427529">
        <w:t>Physica</w:t>
      </w:r>
      <w:proofErr w:type="spellEnd"/>
      <w:r w:rsidR="00170DC8" w:rsidRPr="00427529">
        <w:t>.</w:t>
      </w:r>
      <w:proofErr w:type="gramEnd"/>
      <w:r w:rsidR="00170DC8" w:rsidRPr="00427529">
        <w:t xml:space="preserve"> 1964</w:t>
      </w:r>
      <w:proofErr w:type="gramStart"/>
      <w:r w:rsidR="00170DC8" w:rsidRPr="00427529">
        <w:t>;30</w:t>
      </w:r>
      <w:proofErr w:type="gramEnd"/>
      <w:r w:rsidR="00170DC8" w:rsidRPr="00427529">
        <w:t>;1600-1608</w:t>
      </w:r>
    </w:p>
    <w:p w:rsidR="00170DC8" w:rsidRPr="00427529" w:rsidRDefault="00A148DC" w:rsidP="00170DC8">
      <w:pPr>
        <w:pStyle w:val="References"/>
        <w:ind w:left="426" w:hanging="426"/>
      </w:pPr>
      <w:r w:rsidRPr="00427529">
        <w:t>[1</w:t>
      </w:r>
      <w:r w:rsidR="00D63940">
        <w:t>4</w:t>
      </w:r>
      <w:r w:rsidRPr="00427529">
        <w:t>]</w:t>
      </w:r>
      <w:r w:rsidR="00170DC8" w:rsidRPr="00427529">
        <w:t xml:space="preserve"> </w:t>
      </w:r>
      <w:proofErr w:type="spellStart"/>
      <w:r w:rsidR="00170DC8" w:rsidRPr="00427529">
        <w:t>Gilbu</w:t>
      </w:r>
      <w:proofErr w:type="spellEnd"/>
      <w:r w:rsidR="00170DC8" w:rsidRPr="00427529">
        <w:t xml:space="preserve"> B, </w:t>
      </w:r>
      <w:proofErr w:type="spellStart"/>
      <w:r w:rsidR="00170DC8" w:rsidRPr="00427529">
        <w:t>Fjellvåg</w:t>
      </w:r>
      <w:proofErr w:type="spellEnd"/>
      <w:r w:rsidR="00170DC8" w:rsidRPr="00427529">
        <w:t xml:space="preserve"> H, </w:t>
      </w:r>
      <w:proofErr w:type="spellStart"/>
      <w:r w:rsidR="00170DC8" w:rsidRPr="00427529">
        <w:t>Kjekshus</w:t>
      </w:r>
      <w:proofErr w:type="spellEnd"/>
      <w:r w:rsidR="00170DC8" w:rsidRPr="00427529">
        <w:t xml:space="preserve"> A. Properties of LaCo</w:t>
      </w:r>
      <w:r w:rsidR="00170DC8" w:rsidRPr="00427529">
        <w:rPr>
          <w:vertAlign w:val="subscript"/>
        </w:rPr>
        <w:t>1-</w:t>
      </w:r>
      <w:r w:rsidR="00170DC8" w:rsidRPr="0077519C">
        <w:rPr>
          <w:i/>
          <w:vertAlign w:val="subscript"/>
        </w:rPr>
        <w:t>t</w:t>
      </w:r>
      <w:r w:rsidR="00170DC8" w:rsidRPr="00427529">
        <w:t>Cr</w:t>
      </w:r>
      <w:r w:rsidR="00170DC8" w:rsidRPr="0077519C">
        <w:rPr>
          <w:i/>
          <w:vertAlign w:val="subscript"/>
        </w:rPr>
        <w:t>t</w:t>
      </w:r>
      <w:r w:rsidR="00170DC8" w:rsidRPr="00427529">
        <w:t>O</w:t>
      </w:r>
      <w:r w:rsidR="00170DC8" w:rsidRPr="00427529">
        <w:rPr>
          <w:vertAlign w:val="subscript"/>
        </w:rPr>
        <w:t>3</w:t>
      </w:r>
      <w:r w:rsidR="00170DC8" w:rsidRPr="00427529">
        <w:t xml:space="preserve">. I. Solid solubility, Thermal Expansion and Structural Transition, </w:t>
      </w:r>
      <w:proofErr w:type="spellStart"/>
      <w:r w:rsidR="00170DC8" w:rsidRPr="00427529">
        <w:t>Acta</w:t>
      </w:r>
      <w:proofErr w:type="spellEnd"/>
      <w:r w:rsidR="00170DC8" w:rsidRPr="00427529">
        <w:t xml:space="preserve"> </w:t>
      </w:r>
      <w:proofErr w:type="spellStart"/>
      <w:r w:rsidR="00170DC8" w:rsidRPr="00427529">
        <w:t>Chem</w:t>
      </w:r>
      <w:proofErr w:type="spellEnd"/>
      <w:r w:rsidR="00170DC8" w:rsidRPr="00427529">
        <w:t xml:space="preserve"> Scand. 1994</w:t>
      </w:r>
      <w:proofErr w:type="gramStart"/>
      <w:r w:rsidR="00170DC8" w:rsidRPr="00427529">
        <w:t>;48</w:t>
      </w:r>
      <w:proofErr w:type="gramEnd"/>
      <w:r w:rsidR="00170DC8" w:rsidRPr="00427529">
        <w:t>;37-45</w:t>
      </w:r>
    </w:p>
    <w:p w:rsidR="00170DC8" w:rsidRPr="00427529" w:rsidRDefault="00A148DC" w:rsidP="00170DC8">
      <w:pPr>
        <w:pStyle w:val="References"/>
        <w:ind w:left="426" w:hanging="426"/>
      </w:pPr>
      <w:r w:rsidRPr="00427529">
        <w:t>[1</w:t>
      </w:r>
      <w:r w:rsidR="00D63940">
        <w:t>5</w:t>
      </w:r>
      <w:r w:rsidRPr="00427529">
        <w:t>]</w:t>
      </w:r>
      <w:r w:rsidR="00170DC8" w:rsidRPr="00427529">
        <w:t xml:space="preserve"> </w:t>
      </w:r>
      <w:proofErr w:type="spellStart"/>
      <w:r w:rsidR="00170DC8" w:rsidRPr="00427529">
        <w:t>Gilbu</w:t>
      </w:r>
      <w:proofErr w:type="spellEnd"/>
      <w:r w:rsidR="00170DC8" w:rsidRPr="00427529">
        <w:t xml:space="preserve"> </w:t>
      </w:r>
      <w:proofErr w:type="spellStart"/>
      <w:r w:rsidR="00170DC8" w:rsidRPr="00427529">
        <w:t>Tilset</w:t>
      </w:r>
      <w:proofErr w:type="spellEnd"/>
      <w:r w:rsidR="00170DC8" w:rsidRPr="00427529">
        <w:t xml:space="preserve"> B, </w:t>
      </w:r>
      <w:proofErr w:type="spellStart"/>
      <w:r w:rsidR="00170DC8" w:rsidRPr="00427529">
        <w:t>Fjellvåg</w:t>
      </w:r>
      <w:proofErr w:type="spellEnd"/>
      <w:r w:rsidR="00170DC8" w:rsidRPr="00427529">
        <w:t xml:space="preserve"> H, </w:t>
      </w:r>
      <w:proofErr w:type="spellStart"/>
      <w:r w:rsidR="00170DC8" w:rsidRPr="00427529">
        <w:t>Kjekshus</w:t>
      </w:r>
      <w:proofErr w:type="spellEnd"/>
      <w:r w:rsidR="00170DC8" w:rsidRPr="00427529">
        <w:t xml:space="preserve"> A, </w:t>
      </w:r>
      <w:proofErr w:type="spellStart"/>
      <w:r w:rsidR="00170DC8" w:rsidRPr="00427529">
        <w:t>Hauback</w:t>
      </w:r>
      <w:proofErr w:type="spellEnd"/>
      <w:r w:rsidR="00170DC8" w:rsidRPr="00427529">
        <w:t xml:space="preserve"> BC. </w:t>
      </w:r>
      <w:proofErr w:type="gramStart"/>
      <w:r w:rsidR="00170DC8" w:rsidRPr="00427529">
        <w:t>Properties of LaCo</w:t>
      </w:r>
      <w:r w:rsidR="00170DC8" w:rsidRPr="00427529">
        <w:rPr>
          <w:vertAlign w:val="subscript"/>
        </w:rPr>
        <w:t>1-</w:t>
      </w:r>
      <w:r w:rsidR="00170DC8" w:rsidRPr="0077519C">
        <w:rPr>
          <w:i/>
          <w:vertAlign w:val="subscript"/>
        </w:rPr>
        <w:t>t</w:t>
      </w:r>
      <w:r w:rsidR="00170DC8" w:rsidRPr="00427529">
        <w:t>Cr</w:t>
      </w:r>
      <w:r w:rsidR="00170DC8" w:rsidRPr="0077519C">
        <w:rPr>
          <w:i/>
          <w:vertAlign w:val="subscript"/>
        </w:rPr>
        <w:t>t</w:t>
      </w:r>
      <w:r w:rsidR="00170DC8" w:rsidRPr="00427529">
        <w:t>O</w:t>
      </w:r>
      <w:r w:rsidR="00170DC8" w:rsidRPr="00427529">
        <w:rPr>
          <w:vertAlign w:val="subscript"/>
        </w:rPr>
        <w:t>3</w:t>
      </w:r>
      <w:r w:rsidR="00170DC8" w:rsidRPr="00427529">
        <w:t>.</w:t>
      </w:r>
      <w:proofErr w:type="gramEnd"/>
      <w:r w:rsidR="00170DC8" w:rsidRPr="00427529">
        <w:t xml:space="preserve"> IV. Structure and Magnetism. 1998</w:t>
      </w:r>
      <w:proofErr w:type="gramStart"/>
      <w:r w:rsidR="00170DC8" w:rsidRPr="00427529">
        <w:t>;52</w:t>
      </w:r>
      <w:proofErr w:type="gramEnd"/>
      <w:r w:rsidR="00170DC8" w:rsidRPr="00427529">
        <w:t>;733-744</w:t>
      </w:r>
    </w:p>
    <w:p w:rsidR="00170DC8" w:rsidRPr="00427529" w:rsidRDefault="003756F0" w:rsidP="00170DC8">
      <w:pPr>
        <w:pStyle w:val="References"/>
        <w:ind w:left="426" w:hanging="426"/>
      </w:pPr>
      <w:r w:rsidRPr="00427529">
        <w:t xml:space="preserve"> </w:t>
      </w:r>
      <w:r w:rsidR="00A148DC" w:rsidRPr="00427529">
        <w:t>[1</w:t>
      </w:r>
      <w:r w:rsidR="00D63940">
        <w:t>6</w:t>
      </w:r>
      <w:r w:rsidR="00A148DC" w:rsidRPr="00427529">
        <w:t>]</w:t>
      </w:r>
      <w:r w:rsidR="00170DC8" w:rsidRPr="00427529">
        <w:t xml:space="preserve"> Durand </w:t>
      </w:r>
      <w:proofErr w:type="gramStart"/>
      <w:r w:rsidR="00170DC8" w:rsidRPr="00427529">
        <w:t>AM</w:t>
      </w:r>
      <w:proofErr w:type="gramEnd"/>
      <w:r w:rsidR="00170DC8" w:rsidRPr="00427529">
        <w:t xml:space="preserve">, Belanger DP, Booth CH, Ye F, Chi S, Fernandez-Baca JA, </w:t>
      </w:r>
      <w:proofErr w:type="spellStart"/>
      <w:r w:rsidR="00170DC8" w:rsidRPr="00427529">
        <w:t>Bhat</w:t>
      </w:r>
      <w:proofErr w:type="spellEnd"/>
      <w:r w:rsidR="00170DC8" w:rsidRPr="00427529">
        <w:t xml:space="preserve"> M. Magnetism and phase transitions in LaCoO</w:t>
      </w:r>
      <w:r w:rsidR="00170DC8" w:rsidRPr="00427529">
        <w:rPr>
          <w:vertAlign w:val="subscript"/>
        </w:rPr>
        <w:t>3</w:t>
      </w:r>
      <w:r w:rsidR="00170DC8" w:rsidRPr="00427529">
        <w:t xml:space="preserve">. </w:t>
      </w:r>
      <w:proofErr w:type="gramStart"/>
      <w:r w:rsidR="00170DC8" w:rsidRPr="00427529">
        <w:t xml:space="preserve">J </w:t>
      </w:r>
      <w:proofErr w:type="spellStart"/>
      <w:r w:rsidR="00170DC8" w:rsidRPr="00427529">
        <w:t>Phys</w:t>
      </w:r>
      <w:proofErr w:type="spellEnd"/>
      <w:r w:rsidR="00170DC8" w:rsidRPr="00427529">
        <w:t xml:space="preserve"> </w:t>
      </w:r>
      <w:proofErr w:type="spellStart"/>
      <w:r w:rsidR="00170DC8" w:rsidRPr="00427529">
        <w:t>Condens</w:t>
      </w:r>
      <w:proofErr w:type="spellEnd"/>
      <w:r w:rsidR="00170DC8" w:rsidRPr="00427529">
        <w:t xml:space="preserve"> Matter.</w:t>
      </w:r>
      <w:proofErr w:type="gramEnd"/>
      <w:r w:rsidR="00170DC8" w:rsidRPr="00427529">
        <w:t xml:space="preserve"> 2013</w:t>
      </w:r>
      <w:proofErr w:type="gramStart"/>
      <w:r w:rsidR="00170DC8" w:rsidRPr="00427529">
        <w:t>;25</w:t>
      </w:r>
      <w:proofErr w:type="gramEnd"/>
      <w:r w:rsidR="00170DC8" w:rsidRPr="00427529">
        <w:t>;382203</w:t>
      </w:r>
    </w:p>
    <w:p w:rsidR="00170DC8" w:rsidRPr="00427529" w:rsidRDefault="00A148DC" w:rsidP="00170DC8">
      <w:pPr>
        <w:pStyle w:val="References"/>
        <w:ind w:left="426" w:hanging="426"/>
      </w:pPr>
      <w:proofErr w:type="gramStart"/>
      <w:r w:rsidRPr="00427529">
        <w:t>[1</w:t>
      </w:r>
      <w:r w:rsidR="005501A3">
        <w:t>7</w:t>
      </w:r>
      <w:r w:rsidRPr="00427529">
        <w:t>]</w:t>
      </w:r>
      <w:r w:rsidR="00170DC8" w:rsidRPr="00427529">
        <w:t xml:space="preserve"> Yan J-Q, Zhou J-S, </w:t>
      </w:r>
      <w:proofErr w:type="spellStart"/>
      <w:r w:rsidR="00170DC8" w:rsidRPr="00427529">
        <w:t>Goodenough</w:t>
      </w:r>
      <w:proofErr w:type="spellEnd"/>
      <w:r w:rsidR="00170DC8" w:rsidRPr="00427529">
        <w:t xml:space="preserve"> JB.</w:t>
      </w:r>
      <w:proofErr w:type="gramEnd"/>
      <w:r w:rsidR="00170DC8" w:rsidRPr="00427529">
        <w:t xml:space="preserve"> </w:t>
      </w:r>
      <w:proofErr w:type="gramStart"/>
      <w:r w:rsidR="00170DC8" w:rsidRPr="00427529">
        <w:t>Ferromagnetism in LaCoO</w:t>
      </w:r>
      <w:r w:rsidR="00170DC8" w:rsidRPr="00427529">
        <w:rPr>
          <w:vertAlign w:val="subscript"/>
        </w:rPr>
        <w:t>3</w:t>
      </w:r>
      <w:r w:rsidR="00170DC8" w:rsidRPr="00427529">
        <w:t>.</w:t>
      </w:r>
      <w:proofErr w:type="gramEnd"/>
      <w:r w:rsidR="00170DC8" w:rsidRPr="00427529">
        <w:t xml:space="preserve"> </w:t>
      </w:r>
      <w:proofErr w:type="spellStart"/>
      <w:r w:rsidR="00170DC8" w:rsidRPr="00427529">
        <w:t>Phys</w:t>
      </w:r>
      <w:proofErr w:type="spellEnd"/>
      <w:r w:rsidR="00170DC8" w:rsidRPr="00427529">
        <w:t xml:space="preserve"> Rev B. 2004</w:t>
      </w:r>
      <w:proofErr w:type="gramStart"/>
      <w:r w:rsidR="00170DC8" w:rsidRPr="00427529">
        <w:t>;70</w:t>
      </w:r>
      <w:proofErr w:type="gramEnd"/>
      <w:r w:rsidR="00170DC8" w:rsidRPr="00427529">
        <w:t>;014402</w:t>
      </w:r>
    </w:p>
    <w:p w:rsidR="00170DC8" w:rsidRPr="00427529" w:rsidRDefault="006B5396" w:rsidP="00170DC8">
      <w:pPr>
        <w:pStyle w:val="References"/>
        <w:ind w:left="426" w:hanging="426"/>
      </w:pPr>
      <w:r>
        <w:t>[18</w:t>
      </w:r>
      <w:r w:rsidR="00A148DC" w:rsidRPr="00427529">
        <w:t>]</w:t>
      </w:r>
      <w:r w:rsidR="00170DC8" w:rsidRPr="00427529">
        <w:t xml:space="preserve"> Noguchi S, </w:t>
      </w:r>
      <w:proofErr w:type="spellStart"/>
      <w:r w:rsidR="00170DC8" w:rsidRPr="00427529">
        <w:t>Kawamata</w:t>
      </w:r>
      <w:proofErr w:type="spellEnd"/>
      <w:r w:rsidR="00170DC8" w:rsidRPr="00427529">
        <w:t xml:space="preserve"> S, Okuda K, </w:t>
      </w:r>
      <w:proofErr w:type="spellStart"/>
      <w:r w:rsidR="00170DC8" w:rsidRPr="00427529">
        <w:t>Nojiri</w:t>
      </w:r>
      <w:proofErr w:type="spellEnd"/>
      <w:r w:rsidR="00170DC8" w:rsidRPr="00427529">
        <w:t xml:space="preserve"> H, </w:t>
      </w:r>
      <w:proofErr w:type="spellStart"/>
      <w:r w:rsidR="00170DC8" w:rsidRPr="00427529">
        <w:t>Motokawa</w:t>
      </w:r>
      <w:proofErr w:type="spellEnd"/>
      <w:r w:rsidR="00170DC8" w:rsidRPr="00427529">
        <w:t xml:space="preserve"> M. Evidence for the excited triplet of Co</w:t>
      </w:r>
      <w:r w:rsidR="00170DC8" w:rsidRPr="00427529">
        <w:rPr>
          <w:vertAlign w:val="superscript"/>
        </w:rPr>
        <w:t>3+</w:t>
      </w:r>
      <w:r w:rsidR="00170DC8" w:rsidRPr="00427529">
        <w:t xml:space="preserve"> in LaCoO</w:t>
      </w:r>
      <w:r w:rsidR="00170DC8" w:rsidRPr="00427529">
        <w:rPr>
          <w:vertAlign w:val="subscript"/>
        </w:rPr>
        <w:t>3</w:t>
      </w:r>
      <w:r w:rsidR="00170DC8" w:rsidRPr="00427529">
        <w:t xml:space="preserve">. </w:t>
      </w:r>
      <w:proofErr w:type="spellStart"/>
      <w:r w:rsidR="00170DC8" w:rsidRPr="00427529">
        <w:t>Phys</w:t>
      </w:r>
      <w:proofErr w:type="spellEnd"/>
      <w:r w:rsidR="00170DC8" w:rsidRPr="00427529">
        <w:t xml:space="preserve"> Rev B. 2002</w:t>
      </w:r>
      <w:proofErr w:type="gramStart"/>
      <w:r w:rsidR="00170DC8" w:rsidRPr="00427529">
        <w:t>;66</w:t>
      </w:r>
      <w:proofErr w:type="gramEnd"/>
      <w:r w:rsidR="00170DC8" w:rsidRPr="00427529">
        <w:t>;094404</w:t>
      </w:r>
    </w:p>
    <w:p w:rsidR="00170DC8" w:rsidRPr="00427529" w:rsidRDefault="00A148DC" w:rsidP="00170DC8">
      <w:pPr>
        <w:pStyle w:val="References"/>
        <w:ind w:left="426" w:hanging="426"/>
      </w:pPr>
      <w:r w:rsidRPr="00427529">
        <w:t>[1</w:t>
      </w:r>
      <w:r w:rsidR="006B5396">
        <w:t>9</w:t>
      </w:r>
      <w:r w:rsidRPr="00427529">
        <w:t>]</w:t>
      </w:r>
      <w:r w:rsidR="00170DC8" w:rsidRPr="00427529">
        <w:t xml:space="preserve"> </w:t>
      </w:r>
      <w:proofErr w:type="spellStart"/>
      <w:r w:rsidR="00170DC8" w:rsidRPr="00427529">
        <w:t>Podlesnyak</w:t>
      </w:r>
      <w:proofErr w:type="spellEnd"/>
      <w:r w:rsidR="00170DC8" w:rsidRPr="00427529">
        <w:t xml:space="preserve"> A, </w:t>
      </w:r>
      <w:proofErr w:type="spellStart"/>
      <w:r w:rsidR="00170DC8" w:rsidRPr="00427529">
        <w:t>Streule</w:t>
      </w:r>
      <w:proofErr w:type="spellEnd"/>
      <w:r w:rsidR="00170DC8" w:rsidRPr="00427529">
        <w:t xml:space="preserve"> S, </w:t>
      </w:r>
      <w:proofErr w:type="spellStart"/>
      <w:r w:rsidR="00170DC8" w:rsidRPr="00427529">
        <w:t>Mesot</w:t>
      </w:r>
      <w:proofErr w:type="spellEnd"/>
      <w:r w:rsidR="00170DC8" w:rsidRPr="00427529">
        <w:t xml:space="preserve"> J, </w:t>
      </w:r>
      <w:proofErr w:type="spellStart"/>
      <w:r w:rsidR="00170DC8" w:rsidRPr="00427529">
        <w:t>Medarde</w:t>
      </w:r>
      <w:proofErr w:type="spellEnd"/>
      <w:r w:rsidR="00170DC8" w:rsidRPr="00427529">
        <w:t xml:space="preserve"> M, </w:t>
      </w:r>
      <w:proofErr w:type="spellStart"/>
      <w:r w:rsidR="00170DC8" w:rsidRPr="00427529">
        <w:t>Pomjakushina</w:t>
      </w:r>
      <w:proofErr w:type="spellEnd"/>
      <w:r w:rsidR="00170DC8" w:rsidRPr="00427529">
        <w:t xml:space="preserve"> E, </w:t>
      </w:r>
      <w:proofErr w:type="spellStart"/>
      <w:r w:rsidR="00170DC8" w:rsidRPr="00427529">
        <w:t>Conder</w:t>
      </w:r>
      <w:proofErr w:type="spellEnd"/>
      <w:r w:rsidR="00170DC8" w:rsidRPr="00427529">
        <w:t xml:space="preserve"> K, Tanaka A, </w:t>
      </w:r>
      <w:proofErr w:type="spellStart"/>
      <w:r w:rsidR="00170DC8" w:rsidRPr="00427529">
        <w:t>Haverkort</w:t>
      </w:r>
      <w:proofErr w:type="spellEnd"/>
      <w:r w:rsidR="00170DC8" w:rsidRPr="00427529">
        <w:t xml:space="preserve"> MW, </w:t>
      </w:r>
      <w:proofErr w:type="spellStart"/>
      <w:r w:rsidR="00170DC8" w:rsidRPr="00427529">
        <w:t>Khomskii</w:t>
      </w:r>
      <w:proofErr w:type="spellEnd"/>
      <w:r w:rsidR="00170DC8" w:rsidRPr="00427529">
        <w:t xml:space="preserve"> DI. Spin-State Transition in LaCoO</w:t>
      </w:r>
      <w:r w:rsidR="00170DC8" w:rsidRPr="00427529">
        <w:rPr>
          <w:vertAlign w:val="subscript"/>
        </w:rPr>
        <w:t>3</w:t>
      </w:r>
      <w:r w:rsidR="00170DC8" w:rsidRPr="00427529">
        <w:t xml:space="preserve">: Direct Neutron Spectroscopic Evidence of Excited Magnetic States. </w:t>
      </w:r>
      <w:proofErr w:type="spellStart"/>
      <w:proofErr w:type="gramStart"/>
      <w:r w:rsidR="00170DC8" w:rsidRPr="00427529">
        <w:t>Phys</w:t>
      </w:r>
      <w:proofErr w:type="spellEnd"/>
      <w:r w:rsidR="00170DC8" w:rsidRPr="00427529">
        <w:t xml:space="preserve"> Rev </w:t>
      </w:r>
      <w:proofErr w:type="spellStart"/>
      <w:r w:rsidR="00170DC8" w:rsidRPr="00427529">
        <w:t>Lett</w:t>
      </w:r>
      <w:proofErr w:type="spellEnd"/>
      <w:r w:rsidR="00170DC8" w:rsidRPr="00427529">
        <w:t>.</w:t>
      </w:r>
      <w:proofErr w:type="gramEnd"/>
      <w:r w:rsidR="00170DC8" w:rsidRPr="00427529">
        <w:t xml:space="preserve"> 2006</w:t>
      </w:r>
      <w:proofErr w:type="gramStart"/>
      <w:r w:rsidR="00170DC8" w:rsidRPr="00427529">
        <w:t>;97</w:t>
      </w:r>
      <w:proofErr w:type="gramEnd"/>
      <w:r w:rsidR="00170DC8" w:rsidRPr="00427529">
        <w:t>;247208</w:t>
      </w:r>
    </w:p>
    <w:p w:rsidR="00170DC8" w:rsidRPr="00427529" w:rsidRDefault="00A23EA4" w:rsidP="00170DC8">
      <w:pPr>
        <w:pStyle w:val="References"/>
        <w:ind w:left="426" w:hanging="426"/>
      </w:pPr>
      <w:r w:rsidRPr="00427529">
        <w:t>[</w:t>
      </w:r>
      <w:r w:rsidR="00557B04">
        <w:t>20</w:t>
      </w:r>
      <w:r w:rsidRPr="00427529">
        <w:t>]</w:t>
      </w:r>
      <w:r w:rsidR="00170DC8" w:rsidRPr="00427529">
        <w:t xml:space="preserve"> Hsu H, </w:t>
      </w:r>
      <w:proofErr w:type="spellStart"/>
      <w:r w:rsidR="00170DC8" w:rsidRPr="00427529">
        <w:t>Blaha</w:t>
      </w:r>
      <w:proofErr w:type="spellEnd"/>
      <w:r w:rsidR="00170DC8" w:rsidRPr="00427529">
        <w:t xml:space="preserve"> P, </w:t>
      </w:r>
      <w:proofErr w:type="spellStart"/>
      <w:r w:rsidR="00170DC8" w:rsidRPr="00427529">
        <w:t>Wentzcovitch</w:t>
      </w:r>
      <w:proofErr w:type="spellEnd"/>
      <w:r w:rsidR="00170DC8" w:rsidRPr="00427529">
        <w:t xml:space="preserve"> RM, Leighton C. Cobalt spin states and hyperfine interactions in LaCoO</w:t>
      </w:r>
      <w:r w:rsidR="00170DC8" w:rsidRPr="00427529">
        <w:rPr>
          <w:vertAlign w:val="subscript"/>
        </w:rPr>
        <w:t>3</w:t>
      </w:r>
      <w:r w:rsidR="00170DC8" w:rsidRPr="00427529">
        <w:t xml:space="preserve"> investigated by LDA+U calculations. </w:t>
      </w:r>
      <w:proofErr w:type="spellStart"/>
      <w:r w:rsidR="00170DC8" w:rsidRPr="00427529">
        <w:t>Phys</w:t>
      </w:r>
      <w:proofErr w:type="spellEnd"/>
      <w:r w:rsidR="00170DC8" w:rsidRPr="00427529">
        <w:t xml:space="preserve"> Rev B. 2010</w:t>
      </w:r>
      <w:proofErr w:type="gramStart"/>
      <w:r w:rsidR="00170DC8" w:rsidRPr="00427529">
        <w:t>;82</w:t>
      </w:r>
      <w:proofErr w:type="gramEnd"/>
      <w:r w:rsidR="00170DC8" w:rsidRPr="00427529">
        <w:t>;100406</w:t>
      </w:r>
    </w:p>
    <w:p w:rsidR="00170DC8" w:rsidRPr="00427529" w:rsidRDefault="00A148DC" w:rsidP="00170DC8">
      <w:pPr>
        <w:pStyle w:val="References"/>
        <w:ind w:left="426" w:hanging="426"/>
      </w:pPr>
      <w:r w:rsidRPr="00427529">
        <w:t>[2</w:t>
      </w:r>
      <w:r w:rsidR="00557B04">
        <w:t>1</w:t>
      </w:r>
      <w:r w:rsidRPr="00427529">
        <w:t>]</w:t>
      </w:r>
      <w:r w:rsidR="00170DC8" w:rsidRPr="00427529">
        <w:t xml:space="preserve"> Yamaguchi S, </w:t>
      </w:r>
      <w:proofErr w:type="spellStart"/>
      <w:r w:rsidR="00170DC8" w:rsidRPr="00427529">
        <w:t>Okimoto</w:t>
      </w:r>
      <w:proofErr w:type="spellEnd"/>
      <w:r w:rsidR="00170DC8" w:rsidRPr="00427529">
        <w:t xml:space="preserve"> Y, </w:t>
      </w:r>
      <w:proofErr w:type="spellStart"/>
      <w:r w:rsidR="00170DC8" w:rsidRPr="00427529">
        <w:t>Tokura</w:t>
      </w:r>
      <w:proofErr w:type="spellEnd"/>
      <w:r w:rsidR="00170DC8" w:rsidRPr="00427529">
        <w:t xml:space="preserve"> Y. Local lattice distortion during the spin-state transition in LaCoO</w:t>
      </w:r>
      <w:r w:rsidR="00170DC8" w:rsidRPr="00427529">
        <w:rPr>
          <w:vertAlign w:val="subscript"/>
        </w:rPr>
        <w:t>3</w:t>
      </w:r>
      <w:r w:rsidR="00170DC8" w:rsidRPr="00427529">
        <w:t xml:space="preserve">. </w:t>
      </w:r>
      <w:proofErr w:type="spellStart"/>
      <w:r w:rsidR="00170DC8" w:rsidRPr="00427529">
        <w:t>Phys</w:t>
      </w:r>
      <w:proofErr w:type="spellEnd"/>
      <w:r w:rsidR="00170DC8" w:rsidRPr="00427529">
        <w:t xml:space="preserve"> Rev B. 1997</w:t>
      </w:r>
      <w:proofErr w:type="gramStart"/>
      <w:r w:rsidR="00170DC8" w:rsidRPr="00427529">
        <w:t>;55</w:t>
      </w:r>
      <w:proofErr w:type="gramEnd"/>
      <w:r w:rsidR="00170DC8" w:rsidRPr="00427529">
        <w:t>;R8666-R8669</w:t>
      </w:r>
    </w:p>
    <w:p w:rsidR="00170DC8" w:rsidRPr="00427529" w:rsidRDefault="00A148DC" w:rsidP="00170DC8">
      <w:pPr>
        <w:pStyle w:val="References"/>
        <w:ind w:left="426" w:hanging="426"/>
      </w:pPr>
      <w:r w:rsidRPr="00427529">
        <w:t>[2</w:t>
      </w:r>
      <w:r w:rsidR="00557B04">
        <w:t>2</w:t>
      </w:r>
      <w:r w:rsidRPr="00427529">
        <w:t>]</w:t>
      </w:r>
      <w:r w:rsidR="00170DC8" w:rsidRPr="00427529">
        <w:t xml:space="preserve"> Phelan D, </w:t>
      </w:r>
      <w:proofErr w:type="spellStart"/>
      <w:r w:rsidR="00170DC8" w:rsidRPr="00427529">
        <w:t>Louca</w:t>
      </w:r>
      <w:proofErr w:type="spellEnd"/>
      <w:r w:rsidR="00170DC8" w:rsidRPr="00427529">
        <w:t xml:space="preserve"> D, </w:t>
      </w:r>
      <w:proofErr w:type="spellStart"/>
      <w:r w:rsidR="00170DC8" w:rsidRPr="00427529">
        <w:t>Rosenkranz</w:t>
      </w:r>
      <w:proofErr w:type="spellEnd"/>
      <w:r w:rsidR="00170DC8" w:rsidRPr="00427529">
        <w:t xml:space="preserve"> S, Lee S-H, </w:t>
      </w:r>
      <w:proofErr w:type="spellStart"/>
      <w:r w:rsidR="00170DC8" w:rsidRPr="00427529">
        <w:t>Qiu</w:t>
      </w:r>
      <w:proofErr w:type="spellEnd"/>
      <w:r w:rsidR="00170DC8" w:rsidRPr="00427529">
        <w:t xml:space="preserve"> Y, </w:t>
      </w:r>
      <w:proofErr w:type="spellStart"/>
      <w:r w:rsidR="00170DC8" w:rsidRPr="00427529">
        <w:t>Chupas</w:t>
      </w:r>
      <w:proofErr w:type="spellEnd"/>
      <w:r w:rsidR="00170DC8" w:rsidRPr="00427529">
        <w:t xml:space="preserve"> PJ, Osborn R, Zheng H, Mitchell JF, Copley JRD, </w:t>
      </w:r>
      <w:proofErr w:type="spellStart"/>
      <w:r w:rsidR="00170DC8" w:rsidRPr="00427529">
        <w:t>Sarrao</w:t>
      </w:r>
      <w:proofErr w:type="spellEnd"/>
      <w:r w:rsidR="00170DC8" w:rsidRPr="00427529">
        <w:t xml:space="preserve"> JL, </w:t>
      </w:r>
      <w:proofErr w:type="spellStart"/>
      <w:r w:rsidR="00170DC8" w:rsidRPr="00427529">
        <w:t>Moritomo</w:t>
      </w:r>
      <w:proofErr w:type="spellEnd"/>
      <w:r w:rsidR="00170DC8" w:rsidRPr="00427529">
        <w:t xml:space="preserve"> Y. </w:t>
      </w:r>
      <w:proofErr w:type="spellStart"/>
      <w:r w:rsidR="00170DC8" w:rsidRPr="00427529">
        <w:t>Nanomagnetic</w:t>
      </w:r>
      <w:proofErr w:type="spellEnd"/>
      <w:r w:rsidR="00170DC8" w:rsidRPr="00427529">
        <w:t xml:space="preserve"> Droplets and Implications to Orbital Ordering in La</w:t>
      </w:r>
      <w:r w:rsidR="00170DC8" w:rsidRPr="00427529">
        <w:rPr>
          <w:vertAlign w:val="subscript"/>
        </w:rPr>
        <w:t>1-</w:t>
      </w:r>
      <w:r w:rsidR="00170DC8" w:rsidRPr="0077519C">
        <w:rPr>
          <w:i/>
          <w:vertAlign w:val="subscript"/>
        </w:rPr>
        <w:t>x</w:t>
      </w:r>
      <w:r w:rsidR="00170DC8" w:rsidRPr="00427529">
        <w:t>Sr</w:t>
      </w:r>
      <w:r w:rsidR="00170DC8" w:rsidRPr="0077519C">
        <w:rPr>
          <w:i/>
          <w:vertAlign w:val="subscript"/>
        </w:rPr>
        <w:t>x</w:t>
      </w:r>
      <w:r w:rsidR="00170DC8" w:rsidRPr="00427529">
        <w:t>CoO</w:t>
      </w:r>
      <w:r w:rsidR="00170DC8" w:rsidRPr="00427529">
        <w:rPr>
          <w:vertAlign w:val="subscript"/>
        </w:rPr>
        <w:t>3</w:t>
      </w:r>
      <w:r w:rsidR="00170DC8" w:rsidRPr="00427529">
        <w:t xml:space="preserve">. </w:t>
      </w:r>
      <w:proofErr w:type="spellStart"/>
      <w:proofErr w:type="gramStart"/>
      <w:r w:rsidR="00170DC8" w:rsidRPr="00427529">
        <w:t>Phys</w:t>
      </w:r>
      <w:proofErr w:type="spellEnd"/>
      <w:r w:rsidR="00170DC8" w:rsidRPr="00427529">
        <w:t xml:space="preserve"> Rev </w:t>
      </w:r>
      <w:proofErr w:type="spellStart"/>
      <w:r w:rsidR="00170DC8" w:rsidRPr="00427529">
        <w:t>Lett</w:t>
      </w:r>
      <w:proofErr w:type="spellEnd"/>
      <w:r w:rsidR="00170DC8" w:rsidRPr="00427529">
        <w:t>.</w:t>
      </w:r>
      <w:proofErr w:type="gramEnd"/>
      <w:r w:rsidR="00170DC8" w:rsidRPr="00427529">
        <w:t xml:space="preserve"> 2006</w:t>
      </w:r>
      <w:proofErr w:type="gramStart"/>
      <w:r w:rsidR="00170DC8" w:rsidRPr="00427529">
        <w:t>;96</w:t>
      </w:r>
      <w:proofErr w:type="gramEnd"/>
      <w:r w:rsidR="00170DC8" w:rsidRPr="00427529">
        <w:t>;027201</w:t>
      </w:r>
    </w:p>
    <w:p w:rsidR="00294374" w:rsidRPr="00427529" w:rsidRDefault="00A148DC" w:rsidP="00294374">
      <w:pPr>
        <w:pStyle w:val="References"/>
        <w:ind w:left="426" w:hanging="426"/>
      </w:pPr>
      <w:r w:rsidRPr="00427529">
        <w:t>[2</w:t>
      </w:r>
      <w:r w:rsidR="00557B04">
        <w:t>3</w:t>
      </w:r>
      <w:r w:rsidRPr="00427529">
        <w:t>]</w:t>
      </w:r>
      <w:r w:rsidR="00170DC8" w:rsidRPr="00427529">
        <w:t xml:space="preserve"> </w:t>
      </w:r>
      <w:proofErr w:type="spellStart"/>
      <w:r w:rsidR="00170DC8" w:rsidRPr="00427529">
        <w:t>Vankó</w:t>
      </w:r>
      <w:proofErr w:type="spellEnd"/>
      <w:r w:rsidR="00170DC8" w:rsidRPr="00427529">
        <w:t xml:space="preserve"> G, </w:t>
      </w:r>
      <w:proofErr w:type="spellStart"/>
      <w:r w:rsidR="00170DC8" w:rsidRPr="00427529">
        <w:t>Rueff</w:t>
      </w:r>
      <w:proofErr w:type="spellEnd"/>
      <w:r w:rsidR="00170DC8" w:rsidRPr="00427529">
        <w:t xml:space="preserve"> J-P, </w:t>
      </w:r>
      <w:proofErr w:type="spellStart"/>
      <w:r w:rsidR="00170DC8" w:rsidRPr="00427529">
        <w:t>Mattila</w:t>
      </w:r>
      <w:proofErr w:type="spellEnd"/>
      <w:r w:rsidR="00170DC8" w:rsidRPr="00427529">
        <w:t xml:space="preserve"> A, </w:t>
      </w:r>
      <w:proofErr w:type="spellStart"/>
      <w:r w:rsidR="00170DC8" w:rsidRPr="00427529">
        <w:t>Németh</w:t>
      </w:r>
      <w:proofErr w:type="spellEnd"/>
      <w:r w:rsidR="00170DC8" w:rsidRPr="00427529">
        <w:t xml:space="preserve"> Z, Shukla A. Temperature- and pressure-induced spin-state transitions in LaCoO</w:t>
      </w:r>
      <w:r w:rsidR="00170DC8" w:rsidRPr="00427529">
        <w:rPr>
          <w:vertAlign w:val="subscript"/>
        </w:rPr>
        <w:t>3</w:t>
      </w:r>
      <w:r w:rsidR="00170DC8" w:rsidRPr="00427529">
        <w:t xml:space="preserve">. </w:t>
      </w:r>
      <w:proofErr w:type="spellStart"/>
      <w:r w:rsidR="00170DC8" w:rsidRPr="00427529">
        <w:t>Phys</w:t>
      </w:r>
      <w:proofErr w:type="spellEnd"/>
      <w:r w:rsidR="00170DC8" w:rsidRPr="00427529">
        <w:t xml:space="preserve"> Rev B. 2006</w:t>
      </w:r>
      <w:proofErr w:type="gramStart"/>
      <w:r w:rsidR="00170DC8" w:rsidRPr="00427529">
        <w:t>;73</w:t>
      </w:r>
      <w:proofErr w:type="gramEnd"/>
      <w:r w:rsidR="00170DC8" w:rsidRPr="00427529">
        <w:t>;024424-1-024424-9</w:t>
      </w:r>
    </w:p>
    <w:p w:rsidR="00294374" w:rsidRPr="00427529" w:rsidRDefault="00294374" w:rsidP="00294374">
      <w:pPr>
        <w:pStyle w:val="References"/>
        <w:ind w:left="426" w:hanging="426"/>
      </w:pPr>
      <w:r w:rsidRPr="00427529">
        <w:t>[2</w:t>
      </w:r>
      <w:r w:rsidR="00557B04">
        <w:t>4</w:t>
      </w:r>
      <w:r w:rsidRPr="00427529">
        <w:t xml:space="preserve">] </w:t>
      </w:r>
      <w:r w:rsidR="00190CC2">
        <w:t>Cotton FA, Wilkinson G. Advanced inorganic chemistry. New York: Wiley; 1972</w:t>
      </w:r>
    </w:p>
    <w:p w:rsidR="00170DC8" w:rsidRPr="00427529" w:rsidRDefault="00294374" w:rsidP="00170DC8">
      <w:pPr>
        <w:pStyle w:val="References"/>
        <w:ind w:left="426" w:hanging="426"/>
      </w:pPr>
      <w:r w:rsidRPr="00427529">
        <w:t>[2</w:t>
      </w:r>
      <w:r w:rsidR="00557B04">
        <w:t>5</w:t>
      </w:r>
      <w:r w:rsidRPr="00427529">
        <w:t>]</w:t>
      </w:r>
      <w:r w:rsidR="00170DC8" w:rsidRPr="00427529">
        <w:t xml:space="preserve"> </w:t>
      </w:r>
      <w:proofErr w:type="spellStart"/>
      <w:r w:rsidR="00170DC8" w:rsidRPr="00427529">
        <w:t>Hansteen</w:t>
      </w:r>
      <w:proofErr w:type="spellEnd"/>
      <w:r w:rsidR="00170DC8" w:rsidRPr="00427529">
        <w:t xml:space="preserve"> OH, </w:t>
      </w:r>
      <w:proofErr w:type="spellStart"/>
      <w:r w:rsidR="00170DC8" w:rsidRPr="00427529">
        <w:t>Fjellvåg</w:t>
      </w:r>
      <w:proofErr w:type="spellEnd"/>
      <w:r w:rsidR="00170DC8" w:rsidRPr="00427529">
        <w:t xml:space="preserve"> H, </w:t>
      </w:r>
      <w:proofErr w:type="spellStart"/>
      <w:r w:rsidR="00170DC8" w:rsidRPr="00427529">
        <w:t>Hauback</w:t>
      </w:r>
      <w:proofErr w:type="spellEnd"/>
      <w:r w:rsidR="00170DC8" w:rsidRPr="00427529">
        <w:t xml:space="preserve"> BC. </w:t>
      </w:r>
      <w:proofErr w:type="gramStart"/>
      <w:r w:rsidR="00170DC8" w:rsidRPr="00427529">
        <w:t xml:space="preserve">Powder Neutron and X-Ray </w:t>
      </w:r>
      <w:proofErr w:type="spellStart"/>
      <w:r w:rsidR="00170DC8" w:rsidRPr="00427529">
        <w:t>Diffracion</w:t>
      </w:r>
      <w:proofErr w:type="spellEnd"/>
      <w:r w:rsidR="00170DC8" w:rsidRPr="00427529">
        <w:t xml:space="preserve"> Study of La</w:t>
      </w:r>
      <w:r w:rsidR="00170DC8" w:rsidRPr="0077519C">
        <w:rPr>
          <w:vertAlign w:val="subscript"/>
        </w:rPr>
        <w:t>4</w:t>
      </w:r>
      <w:r w:rsidR="00170DC8" w:rsidRPr="00427529">
        <w:t>Co</w:t>
      </w:r>
      <w:r w:rsidR="00170DC8" w:rsidRPr="0077519C">
        <w:rPr>
          <w:vertAlign w:val="subscript"/>
        </w:rPr>
        <w:t>3</w:t>
      </w:r>
      <w:r w:rsidR="00170DC8" w:rsidRPr="00427529">
        <w:t>O</w:t>
      </w:r>
      <w:r w:rsidR="00170DC8" w:rsidRPr="0077519C">
        <w:rPr>
          <w:vertAlign w:val="subscript"/>
        </w:rPr>
        <w:t>10.00</w:t>
      </w:r>
      <w:r w:rsidR="00170DC8" w:rsidRPr="00427529">
        <w:t>.</w:t>
      </w:r>
      <w:proofErr w:type="gramEnd"/>
      <w:r w:rsidR="00170DC8" w:rsidRPr="00427529">
        <w:t xml:space="preserve"> </w:t>
      </w:r>
      <w:proofErr w:type="spellStart"/>
      <w:proofErr w:type="gramStart"/>
      <w:r w:rsidR="00170DC8" w:rsidRPr="00427529">
        <w:t>Chem</w:t>
      </w:r>
      <w:proofErr w:type="spellEnd"/>
      <w:r w:rsidR="00170DC8" w:rsidRPr="00427529">
        <w:t xml:space="preserve"> Papers.</w:t>
      </w:r>
      <w:proofErr w:type="gramEnd"/>
      <w:r w:rsidR="00170DC8" w:rsidRPr="00427529">
        <w:t xml:space="preserve"> 1998</w:t>
      </w:r>
      <w:proofErr w:type="gramStart"/>
      <w:r w:rsidR="00170DC8" w:rsidRPr="00427529">
        <w:t>;52</w:t>
      </w:r>
      <w:proofErr w:type="gramEnd"/>
      <w:r w:rsidR="00170DC8" w:rsidRPr="00427529">
        <w:t>;7-11</w:t>
      </w:r>
    </w:p>
    <w:p w:rsidR="00170DC8" w:rsidRPr="00427529" w:rsidRDefault="00557B04" w:rsidP="00170DC8">
      <w:pPr>
        <w:pStyle w:val="References"/>
        <w:ind w:left="426" w:hanging="426"/>
      </w:pPr>
      <w:r>
        <w:lastRenderedPageBreak/>
        <w:t>[26</w:t>
      </w:r>
      <w:r w:rsidR="00294374" w:rsidRPr="00427529">
        <w:t>]</w:t>
      </w:r>
      <w:r w:rsidR="00170DC8" w:rsidRPr="00427529">
        <w:t xml:space="preserve"> Kobayashi Y, Taniguchi S, Kasai M, Sato M, </w:t>
      </w:r>
      <w:proofErr w:type="spellStart"/>
      <w:r w:rsidR="00170DC8" w:rsidRPr="00427529">
        <w:t>Nishioka</w:t>
      </w:r>
      <w:proofErr w:type="spellEnd"/>
      <w:r w:rsidR="00170DC8" w:rsidRPr="00427529">
        <w:t xml:space="preserve"> T, </w:t>
      </w:r>
      <w:proofErr w:type="spellStart"/>
      <w:r w:rsidR="00170DC8" w:rsidRPr="00427529">
        <w:t>Kontani</w:t>
      </w:r>
      <w:proofErr w:type="spellEnd"/>
      <w:r w:rsidR="00170DC8" w:rsidRPr="00427529">
        <w:t xml:space="preserve"> M. Transport and Magnetic Properties of La</w:t>
      </w:r>
      <w:r w:rsidR="00170DC8" w:rsidRPr="00427529">
        <w:rPr>
          <w:vertAlign w:val="subscript"/>
        </w:rPr>
        <w:t>3</w:t>
      </w:r>
      <w:r w:rsidR="00170DC8" w:rsidRPr="00427529">
        <w:t>Ni</w:t>
      </w:r>
      <w:r w:rsidR="00170DC8" w:rsidRPr="00427529">
        <w:rPr>
          <w:vertAlign w:val="subscript"/>
        </w:rPr>
        <w:t>2</w:t>
      </w:r>
      <w:r w:rsidR="00170DC8" w:rsidRPr="00427529">
        <w:t>O</w:t>
      </w:r>
      <w:r w:rsidR="00170DC8" w:rsidRPr="00427529">
        <w:rPr>
          <w:vertAlign w:val="subscript"/>
        </w:rPr>
        <w:t>7-</w:t>
      </w:r>
      <w:r w:rsidR="00170DC8" w:rsidRPr="0077519C">
        <w:rPr>
          <w:i/>
          <w:vertAlign w:val="subscript"/>
        </w:rPr>
        <w:t>δ</w:t>
      </w:r>
      <w:r w:rsidR="00170DC8" w:rsidRPr="00427529">
        <w:t xml:space="preserve"> and La</w:t>
      </w:r>
      <w:r w:rsidR="00170DC8" w:rsidRPr="00427529">
        <w:rPr>
          <w:vertAlign w:val="subscript"/>
        </w:rPr>
        <w:t>4</w:t>
      </w:r>
      <w:r w:rsidR="00170DC8" w:rsidRPr="00427529">
        <w:t>Ni</w:t>
      </w:r>
      <w:r w:rsidR="00170DC8" w:rsidRPr="00427529">
        <w:rPr>
          <w:vertAlign w:val="subscript"/>
        </w:rPr>
        <w:t>3</w:t>
      </w:r>
      <w:r w:rsidR="00170DC8" w:rsidRPr="00427529">
        <w:t>O</w:t>
      </w:r>
      <w:r w:rsidR="00170DC8" w:rsidRPr="00427529">
        <w:rPr>
          <w:vertAlign w:val="subscript"/>
        </w:rPr>
        <w:t>10-</w:t>
      </w:r>
      <w:r w:rsidR="00170DC8" w:rsidRPr="0077519C">
        <w:rPr>
          <w:i/>
          <w:vertAlign w:val="subscript"/>
        </w:rPr>
        <w:t>δ</w:t>
      </w:r>
      <w:r w:rsidR="00170DC8" w:rsidRPr="00427529">
        <w:t xml:space="preserve">. J </w:t>
      </w:r>
      <w:proofErr w:type="spellStart"/>
      <w:r w:rsidR="00170DC8" w:rsidRPr="00427529">
        <w:t>Phys</w:t>
      </w:r>
      <w:proofErr w:type="spellEnd"/>
      <w:r w:rsidR="00170DC8" w:rsidRPr="00427529">
        <w:t xml:space="preserve"> </w:t>
      </w:r>
      <w:proofErr w:type="spellStart"/>
      <w:r w:rsidR="00170DC8" w:rsidRPr="00427529">
        <w:t>Soc</w:t>
      </w:r>
      <w:proofErr w:type="spellEnd"/>
      <w:r w:rsidR="00170DC8" w:rsidRPr="00427529">
        <w:t xml:space="preserve"> </w:t>
      </w:r>
      <w:proofErr w:type="spellStart"/>
      <w:r w:rsidR="00170DC8" w:rsidRPr="00427529">
        <w:t>Jpn</w:t>
      </w:r>
      <w:proofErr w:type="spellEnd"/>
      <w:r w:rsidR="00170DC8" w:rsidRPr="00427529">
        <w:t>. 1996</w:t>
      </w:r>
      <w:proofErr w:type="gramStart"/>
      <w:r w:rsidR="00170DC8" w:rsidRPr="00427529">
        <w:t>;65</w:t>
      </w:r>
      <w:proofErr w:type="gramEnd"/>
      <w:r w:rsidR="00170DC8" w:rsidRPr="00427529">
        <w:t>;3978-3982</w:t>
      </w:r>
    </w:p>
    <w:p w:rsidR="00142B7B" w:rsidRPr="00427529" w:rsidRDefault="00294374" w:rsidP="00170DC8">
      <w:pPr>
        <w:pStyle w:val="References"/>
        <w:ind w:left="426" w:hanging="426"/>
      </w:pPr>
      <w:r w:rsidRPr="00427529">
        <w:t>[2</w:t>
      </w:r>
      <w:r w:rsidR="00557B04">
        <w:t>7</w:t>
      </w:r>
      <w:r w:rsidRPr="00427529">
        <w:t>]</w:t>
      </w:r>
      <w:r w:rsidR="00170DC8" w:rsidRPr="00427529">
        <w:t xml:space="preserve"> Greenblatt M. </w:t>
      </w:r>
      <w:proofErr w:type="spellStart"/>
      <w:r w:rsidR="00170DC8" w:rsidRPr="00427529">
        <w:t>Ruddlesden</w:t>
      </w:r>
      <w:proofErr w:type="spellEnd"/>
      <w:r w:rsidR="00170DC8" w:rsidRPr="00427529">
        <w:t>-Popper Ln</w:t>
      </w:r>
      <w:r w:rsidR="00170DC8" w:rsidRPr="0077519C">
        <w:rPr>
          <w:i/>
          <w:vertAlign w:val="subscript"/>
        </w:rPr>
        <w:t>n</w:t>
      </w:r>
      <w:r w:rsidR="00170DC8" w:rsidRPr="00427529">
        <w:rPr>
          <w:vertAlign w:val="subscript"/>
        </w:rPr>
        <w:t>+1</w:t>
      </w:r>
      <w:r w:rsidR="00170DC8" w:rsidRPr="00427529">
        <w:t>Ni</w:t>
      </w:r>
      <w:r w:rsidR="00170DC8" w:rsidRPr="0077519C">
        <w:rPr>
          <w:i/>
          <w:vertAlign w:val="subscript"/>
        </w:rPr>
        <w:t>n</w:t>
      </w:r>
      <w:r w:rsidR="00170DC8" w:rsidRPr="00427529">
        <w:t>O</w:t>
      </w:r>
      <w:r w:rsidR="00170DC8" w:rsidRPr="00427529">
        <w:rPr>
          <w:vertAlign w:val="subscript"/>
        </w:rPr>
        <w:t>3</w:t>
      </w:r>
      <w:r w:rsidR="00170DC8" w:rsidRPr="0077519C">
        <w:rPr>
          <w:i/>
          <w:vertAlign w:val="subscript"/>
        </w:rPr>
        <w:t>n</w:t>
      </w:r>
      <w:r w:rsidR="00170DC8" w:rsidRPr="00427529">
        <w:rPr>
          <w:vertAlign w:val="subscript"/>
        </w:rPr>
        <w:t>+1</w:t>
      </w:r>
      <w:r w:rsidR="00170DC8" w:rsidRPr="00427529">
        <w:t xml:space="preserve"> </w:t>
      </w:r>
      <w:proofErr w:type="spellStart"/>
      <w:r w:rsidR="00170DC8" w:rsidRPr="00427529">
        <w:t>nickelates</w:t>
      </w:r>
      <w:proofErr w:type="spellEnd"/>
      <w:r w:rsidR="00170DC8" w:rsidRPr="00427529">
        <w:t xml:space="preserve">: structure and properties. </w:t>
      </w:r>
      <w:proofErr w:type="spellStart"/>
      <w:r w:rsidR="00170DC8" w:rsidRPr="00427529">
        <w:t>Curr</w:t>
      </w:r>
      <w:proofErr w:type="spellEnd"/>
      <w:r w:rsidR="00170DC8" w:rsidRPr="00427529">
        <w:t xml:space="preserve"> </w:t>
      </w:r>
      <w:proofErr w:type="spellStart"/>
      <w:r w:rsidR="00170DC8" w:rsidRPr="00427529">
        <w:t>Opin</w:t>
      </w:r>
      <w:proofErr w:type="spellEnd"/>
      <w:r w:rsidR="00170DC8" w:rsidRPr="00427529">
        <w:t xml:space="preserve"> Solid State Mater Sci. 1997</w:t>
      </w:r>
      <w:proofErr w:type="gramStart"/>
      <w:r w:rsidR="00170DC8" w:rsidRPr="00427529">
        <w:t>;2</w:t>
      </w:r>
      <w:proofErr w:type="gramEnd"/>
      <w:r w:rsidR="00170DC8" w:rsidRPr="00427529">
        <w:t>;174-183</w:t>
      </w:r>
    </w:p>
    <w:p w:rsidR="00142B7B" w:rsidRPr="00427529" w:rsidRDefault="00294374" w:rsidP="00170DC8">
      <w:pPr>
        <w:pStyle w:val="References"/>
        <w:ind w:left="426" w:hanging="426"/>
      </w:pPr>
      <w:r w:rsidRPr="00427529">
        <w:t>[2</w:t>
      </w:r>
      <w:r w:rsidR="00557B04">
        <w:t>8</w:t>
      </w:r>
      <w:r w:rsidRPr="00427529">
        <w:t>]</w:t>
      </w:r>
      <w:r w:rsidR="00142B7B" w:rsidRPr="00427529">
        <w:t xml:space="preserve"> Shannon RD. Revised Effective Ionic Radii and systematic Studies of Interatomic Distances in Halides and </w:t>
      </w:r>
      <w:proofErr w:type="spellStart"/>
      <w:r w:rsidR="00142B7B" w:rsidRPr="00427529">
        <w:t>Chalcogenides</w:t>
      </w:r>
      <w:proofErr w:type="spellEnd"/>
      <w:r w:rsidR="00142B7B" w:rsidRPr="00427529">
        <w:t xml:space="preserve">. </w:t>
      </w:r>
      <w:proofErr w:type="spellStart"/>
      <w:proofErr w:type="gramStart"/>
      <w:r w:rsidR="00142B7B" w:rsidRPr="00427529">
        <w:t>Acta</w:t>
      </w:r>
      <w:proofErr w:type="spellEnd"/>
      <w:r w:rsidR="00142B7B" w:rsidRPr="00427529">
        <w:t xml:space="preserve"> </w:t>
      </w:r>
      <w:proofErr w:type="spellStart"/>
      <w:r w:rsidR="00142B7B" w:rsidRPr="00427529">
        <w:t>Cryst</w:t>
      </w:r>
      <w:proofErr w:type="spellEnd"/>
      <w:r w:rsidR="00142B7B" w:rsidRPr="00427529">
        <w:t>.</w:t>
      </w:r>
      <w:proofErr w:type="gramEnd"/>
      <w:r w:rsidR="00142B7B" w:rsidRPr="00427529">
        <w:t xml:space="preserve"> 1976</w:t>
      </w:r>
      <w:proofErr w:type="gramStart"/>
      <w:r w:rsidR="00142B7B" w:rsidRPr="00427529">
        <w:t>;A32</w:t>
      </w:r>
      <w:proofErr w:type="gramEnd"/>
      <w:r w:rsidR="00142B7B" w:rsidRPr="00427529">
        <w:t>;751-767</w:t>
      </w:r>
    </w:p>
    <w:p w:rsidR="00C2220C" w:rsidRPr="00427529" w:rsidRDefault="00C2220C" w:rsidP="00C2220C">
      <w:pPr>
        <w:pStyle w:val="References"/>
        <w:ind w:left="426" w:hanging="426"/>
      </w:pPr>
    </w:p>
    <w:p w:rsidR="00C2220C" w:rsidRPr="00427529" w:rsidRDefault="00C2220C" w:rsidP="00C2220C">
      <w:pPr>
        <w:pStyle w:val="References"/>
        <w:ind w:left="426" w:hanging="426"/>
      </w:pPr>
    </w:p>
    <w:p w:rsidR="00C2220C" w:rsidRPr="00427529" w:rsidRDefault="00C2220C" w:rsidP="00C2220C">
      <w:pPr>
        <w:pStyle w:val="References"/>
        <w:ind w:left="426" w:hanging="426"/>
      </w:pPr>
    </w:p>
    <w:p w:rsidR="00031EB1" w:rsidRPr="00F057C9" w:rsidRDefault="00031EB1" w:rsidP="00F057C9">
      <w:pPr>
        <w:spacing w:after="200" w:line="276" w:lineRule="auto"/>
        <w:rPr>
          <w:b/>
          <w:i/>
        </w:rPr>
      </w:pPr>
    </w:p>
    <w:sectPr w:rsidR="00031EB1" w:rsidRPr="00F057C9" w:rsidSect="004E09A1">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A64780"/>
    <w:multiLevelType w:val="hybridMultilevel"/>
    <w:tmpl w:val="7CE0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5C535A"/>
    <w:multiLevelType w:val="hybridMultilevel"/>
    <w:tmpl w:val="D7E8A0F6"/>
    <w:lvl w:ilvl="0" w:tplc="041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56600"/>
    <w:multiLevelType w:val="multilevel"/>
    <w:tmpl w:val="C0BC6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3"/>
  </w:num>
  <w:num w:numId="15">
    <w:abstractNumId w:val="14"/>
  </w:num>
  <w:num w:numId="16">
    <w:abstractNumId w:val="16"/>
  </w:num>
  <w:num w:numId="17">
    <w:abstractNumId w:val="11"/>
  </w:num>
  <w:num w:numId="18">
    <w:abstractNumId w:val="0"/>
  </w:num>
  <w:num w:numId="19">
    <w:abstractNumId w:val="12"/>
  </w:num>
  <w:num w:numId="20">
    <w:abstractNumId w:val="19"/>
  </w:num>
  <w:num w:numId="21">
    <w:abstractNumId w:val="24"/>
  </w:num>
  <w:num w:numId="22">
    <w:abstractNumId w:val="25"/>
  </w:num>
  <w:num w:numId="23">
    <w:abstractNumId w:val="13"/>
  </w:num>
  <w:num w:numId="24">
    <w:abstractNumId w:val="26"/>
  </w:num>
  <w:num w:numId="25">
    <w:abstractNumId w:val="21"/>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0C"/>
    <w:rsid w:val="00001E1F"/>
    <w:rsid w:val="00001F7A"/>
    <w:rsid w:val="000038F3"/>
    <w:rsid w:val="000164AB"/>
    <w:rsid w:val="00031EB1"/>
    <w:rsid w:val="00034A3F"/>
    <w:rsid w:val="000440BE"/>
    <w:rsid w:val="00063907"/>
    <w:rsid w:val="000823E0"/>
    <w:rsid w:val="000A1C07"/>
    <w:rsid w:val="000A6E18"/>
    <w:rsid w:val="000B33B3"/>
    <w:rsid w:val="000B6120"/>
    <w:rsid w:val="000E64B2"/>
    <w:rsid w:val="001236D7"/>
    <w:rsid w:val="00136995"/>
    <w:rsid w:val="00137310"/>
    <w:rsid w:val="00142B7B"/>
    <w:rsid w:val="00142DA8"/>
    <w:rsid w:val="0016137D"/>
    <w:rsid w:val="00170DC8"/>
    <w:rsid w:val="00177212"/>
    <w:rsid w:val="001858A8"/>
    <w:rsid w:val="00190AC2"/>
    <w:rsid w:val="00190CC2"/>
    <w:rsid w:val="001B2E1F"/>
    <w:rsid w:val="001B6E70"/>
    <w:rsid w:val="001E1BFE"/>
    <w:rsid w:val="002036F7"/>
    <w:rsid w:val="00211BB2"/>
    <w:rsid w:val="00263359"/>
    <w:rsid w:val="00277E9B"/>
    <w:rsid w:val="00294374"/>
    <w:rsid w:val="00295BEE"/>
    <w:rsid w:val="002A60FE"/>
    <w:rsid w:val="002B088D"/>
    <w:rsid w:val="002B3FCF"/>
    <w:rsid w:val="002C417A"/>
    <w:rsid w:val="003075EA"/>
    <w:rsid w:val="00310A06"/>
    <w:rsid w:val="00311C7F"/>
    <w:rsid w:val="003155F3"/>
    <w:rsid w:val="00330B74"/>
    <w:rsid w:val="00337320"/>
    <w:rsid w:val="00340D4C"/>
    <w:rsid w:val="00342F45"/>
    <w:rsid w:val="003756F0"/>
    <w:rsid w:val="0037734F"/>
    <w:rsid w:val="00386135"/>
    <w:rsid w:val="00397A09"/>
    <w:rsid w:val="003A7D24"/>
    <w:rsid w:val="003B75E5"/>
    <w:rsid w:val="003D2690"/>
    <w:rsid w:val="003D3509"/>
    <w:rsid w:val="003D58F9"/>
    <w:rsid w:val="003E3FFB"/>
    <w:rsid w:val="003F2AC1"/>
    <w:rsid w:val="0041037A"/>
    <w:rsid w:val="00417559"/>
    <w:rsid w:val="0041784B"/>
    <w:rsid w:val="00427529"/>
    <w:rsid w:val="004278A3"/>
    <w:rsid w:val="0043102F"/>
    <w:rsid w:val="0044337A"/>
    <w:rsid w:val="00457C4F"/>
    <w:rsid w:val="00480763"/>
    <w:rsid w:val="00496FDF"/>
    <w:rsid w:val="004A193D"/>
    <w:rsid w:val="004D3E02"/>
    <w:rsid w:val="004E09A1"/>
    <w:rsid w:val="004E27AA"/>
    <w:rsid w:val="004E3F63"/>
    <w:rsid w:val="004E7028"/>
    <w:rsid w:val="004F22A2"/>
    <w:rsid w:val="005061D0"/>
    <w:rsid w:val="00506D57"/>
    <w:rsid w:val="00514449"/>
    <w:rsid w:val="005501A3"/>
    <w:rsid w:val="00553723"/>
    <w:rsid w:val="00557B04"/>
    <w:rsid w:val="00572D94"/>
    <w:rsid w:val="005850D8"/>
    <w:rsid w:val="005875EF"/>
    <w:rsid w:val="005A3661"/>
    <w:rsid w:val="005B4265"/>
    <w:rsid w:val="005B5E98"/>
    <w:rsid w:val="005D57ED"/>
    <w:rsid w:val="00607B31"/>
    <w:rsid w:val="00623C6F"/>
    <w:rsid w:val="006635CE"/>
    <w:rsid w:val="00664CCA"/>
    <w:rsid w:val="00665F53"/>
    <w:rsid w:val="00671140"/>
    <w:rsid w:val="006A3D79"/>
    <w:rsid w:val="006A3D9C"/>
    <w:rsid w:val="006B0BE7"/>
    <w:rsid w:val="006B5396"/>
    <w:rsid w:val="006E00F5"/>
    <w:rsid w:val="006F079C"/>
    <w:rsid w:val="006F0DD0"/>
    <w:rsid w:val="00720B83"/>
    <w:rsid w:val="0072423D"/>
    <w:rsid w:val="00726A2F"/>
    <w:rsid w:val="00734A59"/>
    <w:rsid w:val="00761791"/>
    <w:rsid w:val="0077519C"/>
    <w:rsid w:val="00783225"/>
    <w:rsid w:val="007C3C41"/>
    <w:rsid w:val="007F75C8"/>
    <w:rsid w:val="00807094"/>
    <w:rsid w:val="00842A84"/>
    <w:rsid w:val="00843E82"/>
    <w:rsid w:val="0086575E"/>
    <w:rsid w:val="00883169"/>
    <w:rsid w:val="00895E70"/>
    <w:rsid w:val="00896CC2"/>
    <w:rsid w:val="008B1ECC"/>
    <w:rsid w:val="008C3F73"/>
    <w:rsid w:val="008D103A"/>
    <w:rsid w:val="008D16EE"/>
    <w:rsid w:val="008D4A5B"/>
    <w:rsid w:val="008E01D5"/>
    <w:rsid w:val="008F4776"/>
    <w:rsid w:val="00914ED2"/>
    <w:rsid w:val="00933120"/>
    <w:rsid w:val="00935A89"/>
    <w:rsid w:val="00935B6C"/>
    <w:rsid w:val="009732ED"/>
    <w:rsid w:val="009752FE"/>
    <w:rsid w:val="009938A7"/>
    <w:rsid w:val="009963BA"/>
    <w:rsid w:val="009A5DBD"/>
    <w:rsid w:val="009B37B9"/>
    <w:rsid w:val="009B5F45"/>
    <w:rsid w:val="00A06C9F"/>
    <w:rsid w:val="00A148DC"/>
    <w:rsid w:val="00A23EA4"/>
    <w:rsid w:val="00A30BF3"/>
    <w:rsid w:val="00A76B0B"/>
    <w:rsid w:val="00AB5ADF"/>
    <w:rsid w:val="00AC5B37"/>
    <w:rsid w:val="00AE16DC"/>
    <w:rsid w:val="00AF1311"/>
    <w:rsid w:val="00AF150D"/>
    <w:rsid w:val="00AF75B1"/>
    <w:rsid w:val="00B152B7"/>
    <w:rsid w:val="00B20781"/>
    <w:rsid w:val="00B2755C"/>
    <w:rsid w:val="00B30F27"/>
    <w:rsid w:val="00B31EAE"/>
    <w:rsid w:val="00B5036C"/>
    <w:rsid w:val="00B65F2B"/>
    <w:rsid w:val="00B81A67"/>
    <w:rsid w:val="00B836BF"/>
    <w:rsid w:val="00B85C0D"/>
    <w:rsid w:val="00BA235A"/>
    <w:rsid w:val="00BA65C5"/>
    <w:rsid w:val="00BB25FD"/>
    <w:rsid w:val="00BB28D8"/>
    <w:rsid w:val="00BC301C"/>
    <w:rsid w:val="00BD52F3"/>
    <w:rsid w:val="00C031E2"/>
    <w:rsid w:val="00C07E6B"/>
    <w:rsid w:val="00C13D57"/>
    <w:rsid w:val="00C2220C"/>
    <w:rsid w:val="00C4712E"/>
    <w:rsid w:val="00C474D4"/>
    <w:rsid w:val="00C66E34"/>
    <w:rsid w:val="00C75F20"/>
    <w:rsid w:val="00CA3C11"/>
    <w:rsid w:val="00CC48D6"/>
    <w:rsid w:val="00CD01C2"/>
    <w:rsid w:val="00CE0D8D"/>
    <w:rsid w:val="00CF34E1"/>
    <w:rsid w:val="00CF5442"/>
    <w:rsid w:val="00D014BF"/>
    <w:rsid w:val="00D115E6"/>
    <w:rsid w:val="00D3645A"/>
    <w:rsid w:val="00D440FF"/>
    <w:rsid w:val="00D454D1"/>
    <w:rsid w:val="00D465DC"/>
    <w:rsid w:val="00D53DF3"/>
    <w:rsid w:val="00D630AE"/>
    <w:rsid w:val="00D63940"/>
    <w:rsid w:val="00D7685F"/>
    <w:rsid w:val="00D93D9C"/>
    <w:rsid w:val="00DA3F18"/>
    <w:rsid w:val="00DA4BB1"/>
    <w:rsid w:val="00DC1490"/>
    <w:rsid w:val="00DD44AB"/>
    <w:rsid w:val="00DE4E93"/>
    <w:rsid w:val="00E03A78"/>
    <w:rsid w:val="00E21BAB"/>
    <w:rsid w:val="00E40368"/>
    <w:rsid w:val="00E65A7C"/>
    <w:rsid w:val="00E84CEF"/>
    <w:rsid w:val="00E94F90"/>
    <w:rsid w:val="00E9740A"/>
    <w:rsid w:val="00EA0B2F"/>
    <w:rsid w:val="00EA6E4B"/>
    <w:rsid w:val="00EC53DC"/>
    <w:rsid w:val="00EC6E7B"/>
    <w:rsid w:val="00EC7264"/>
    <w:rsid w:val="00EC7ABA"/>
    <w:rsid w:val="00EE3BE2"/>
    <w:rsid w:val="00EE5692"/>
    <w:rsid w:val="00F057C9"/>
    <w:rsid w:val="00F110A7"/>
    <w:rsid w:val="00F145D6"/>
    <w:rsid w:val="00F52F01"/>
    <w:rsid w:val="00F9365C"/>
    <w:rsid w:val="00FA0098"/>
    <w:rsid w:val="00FA272B"/>
    <w:rsid w:val="00FA4AA7"/>
    <w:rsid w:val="00FA5C27"/>
    <w:rsid w:val="00FD425D"/>
    <w:rsid w:val="00FF464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0C"/>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C2220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2220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2220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2220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20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C2220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C2220C"/>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C2220C"/>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C2220C"/>
    <w:pPr>
      <w:spacing w:after="120" w:line="360" w:lineRule="auto"/>
    </w:pPr>
    <w:rPr>
      <w:b/>
      <w:sz w:val="28"/>
    </w:rPr>
  </w:style>
  <w:style w:type="paragraph" w:customStyle="1" w:styleId="Authornames">
    <w:name w:val="Author names"/>
    <w:basedOn w:val="Normal"/>
    <w:next w:val="Normal"/>
    <w:qFormat/>
    <w:rsid w:val="00C2220C"/>
    <w:pPr>
      <w:spacing w:before="240" w:line="360" w:lineRule="auto"/>
    </w:pPr>
    <w:rPr>
      <w:sz w:val="28"/>
    </w:rPr>
  </w:style>
  <w:style w:type="paragraph" w:customStyle="1" w:styleId="Affiliation">
    <w:name w:val="Affiliation"/>
    <w:basedOn w:val="Normal"/>
    <w:qFormat/>
    <w:rsid w:val="00C2220C"/>
    <w:pPr>
      <w:spacing w:before="240" w:line="360" w:lineRule="auto"/>
    </w:pPr>
    <w:rPr>
      <w:i/>
    </w:rPr>
  </w:style>
  <w:style w:type="paragraph" w:customStyle="1" w:styleId="Receiveddates">
    <w:name w:val="Received dates"/>
    <w:basedOn w:val="Affiliation"/>
    <w:next w:val="Normal"/>
    <w:qFormat/>
    <w:rsid w:val="00C2220C"/>
  </w:style>
  <w:style w:type="paragraph" w:customStyle="1" w:styleId="Abstract">
    <w:name w:val="Abstract"/>
    <w:basedOn w:val="Normal"/>
    <w:next w:val="Keywords"/>
    <w:qFormat/>
    <w:rsid w:val="00C2220C"/>
    <w:pPr>
      <w:spacing w:before="360" w:after="300" w:line="360" w:lineRule="auto"/>
      <w:ind w:left="720" w:right="567"/>
    </w:pPr>
    <w:rPr>
      <w:sz w:val="22"/>
    </w:rPr>
  </w:style>
  <w:style w:type="paragraph" w:customStyle="1" w:styleId="Keywords">
    <w:name w:val="Keywords"/>
    <w:basedOn w:val="Normal"/>
    <w:next w:val="Paragraph"/>
    <w:qFormat/>
    <w:rsid w:val="00C2220C"/>
    <w:pPr>
      <w:spacing w:before="240" w:after="240" w:line="360" w:lineRule="auto"/>
      <w:ind w:left="720" w:right="567"/>
    </w:pPr>
    <w:rPr>
      <w:sz w:val="22"/>
    </w:rPr>
  </w:style>
  <w:style w:type="paragraph" w:customStyle="1" w:styleId="Correspondencedetails">
    <w:name w:val="Correspondence details"/>
    <w:basedOn w:val="Normal"/>
    <w:qFormat/>
    <w:rsid w:val="00C2220C"/>
    <w:pPr>
      <w:spacing w:before="240" w:line="360" w:lineRule="auto"/>
    </w:pPr>
  </w:style>
  <w:style w:type="paragraph" w:customStyle="1" w:styleId="Displayedquotation">
    <w:name w:val="Displayed quotation"/>
    <w:basedOn w:val="Normal"/>
    <w:qFormat/>
    <w:rsid w:val="00C2220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2220C"/>
    <w:pPr>
      <w:widowControl/>
      <w:numPr>
        <w:numId w:val="13"/>
      </w:numPr>
      <w:spacing w:after="240"/>
      <w:contextualSpacing/>
    </w:pPr>
  </w:style>
  <w:style w:type="paragraph" w:customStyle="1" w:styleId="Displayedequation">
    <w:name w:val="Displayed equation"/>
    <w:basedOn w:val="Normal"/>
    <w:next w:val="Paragraph"/>
    <w:qFormat/>
    <w:rsid w:val="00C2220C"/>
    <w:pPr>
      <w:tabs>
        <w:tab w:val="center" w:pos="4253"/>
        <w:tab w:val="right" w:pos="8222"/>
      </w:tabs>
      <w:spacing w:before="240" w:after="240"/>
      <w:jc w:val="center"/>
    </w:pPr>
  </w:style>
  <w:style w:type="paragraph" w:customStyle="1" w:styleId="Acknowledgements">
    <w:name w:val="Acknowledgements"/>
    <w:basedOn w:val="Normal"/>
    <w:next w:val="Normal"/>
    <w:qFormat/>
    <w:rsid w:val="00C2220C"/>
    <w:pPr>
      <w:spacing w:before="120" w:line="360" w:lineRule="auto"/>
    </w:pPr>
    <w:rPr>
      <w:sz w:val="22"/>
    </w:rPr>
  </w:style>
  <w:style w:type="paragraph" w:customStyle="1" w:styleId="Tabletitle">
    <w:name w:val="Table title"/>
    <w:basedOn w:val="Normal"/>
    <w:next w:val="Normal"/>
    <w:qFormat/>
    <w:rsid w:val="00C2220C"/>
    <w:pPr>
      <w:spacing w:before="240" w:line="360" w:lineRule="auto"/>
    </w:pPr>
  </w:style>
  <w:style w:type="paragraph" w:customStyle="1" w:styleId="Figurecaption">
    <w:name w:val="Figure caption"/>
    <w:basedOn w:val="Normal"/>
    <w:next w:val="Normal"/>
    <w:qFormat/>
    <w:rsid w:val="00C2220C"/>
    <w:pPr>
      <w:spacing w:before="240" w:line="360" w:lineRule="auto"/>
    </w:pPr>
  </w:style>
  <w:style w:type="paragraph" w:customStyle="1" w:styleId="Footnotes">
    <w:name w:val="Footnotes"/>
    <w:basedOn w:val="Normal"/>
    <w:qFormat/>
    <w:rsid w:val="00C2220C"/>
    <w:pPr>
      <w:spacing w:before="120" w:line="360" w:lineRule="auto"/>
      <w:ind w:left="482" w:hanging="482"/>
      <w:contextualSpacing/>
    </w:pPr>
    <w:rPr>
      <w:sz w:val="22"/>
    </w:rPr>
  </w:style>
  <w:style w:type="paragraph" w:customStyle="1" w:styleId="Notesoncontributors">
    <w:name w:val="Notes on contributors"/>
    <w:basedOn w:val="Normal"/>
    <w:qFormat/>
    <w:rsid w:val="00C2220C"/>
    <w:pPr>
      <w:spacing w:before="240" w:line="360" w:lineRule="auto"/>
    </w:pPr>
    <w:rPr>
      <w:sz w:val="22"/>
    </w:rPr>
  </w:style>
  <w:style w:type="paragraph" w:customStyle="1" w:styleId="Normalparagraphstyle">
    <w:name w:val="Normal paragraph style"/>
    <w:basedOn w:val="Normal"/>
    <w:next w:val="Normal"/>
    <w:rsid w:val="00C2220C"/>
  </w:style>
  <w:style w:type="paragraph" w:customStyle="1" w:styleId="Paragraph">
    <w:name w:val="Paragraph"/>
    <w:basedOn w:val="Normal"/>
    <w:next w:val="Newparagraph"/>
    <w:qFormat/>
    <w:rsid w:val="00C2220C"/>
    <w:pPr>
      <w:widowControl w:val="0"/>
      <w:spacing w:before="240"/>
    </w:pPr>
  </w:style>
  <w:style w:type="paragraph" w:customStyle="1" w:styleId="Newparagraph">
    <w:name w:val="New paragraph"/>
    <w:basedOn w:val="Normal"/>
    <w:qFormat/>
    <w:rsid w:val="00C2220C"/>
    <w:pPr>
      <w:ind w:firstLine="720"/>
    </w:pPr>
  </w:style>
  <w:style w:type="paragraph" w:styleId="NormalIndent">
    <w:name w:val="Normal Indent"/>
    <w:basedOn w:val="Normal"/>
    <w:rsid w:val="00C2220C"/>
    <w:pPr>
      <w:ind w:left="720"/>
    </w:pPr>
  </w:style>
  <w:style w:type="paragraph" w:customStyle="1" w:styleId="References">
    <w:name w:val="References"/>
    <w:basedOn w:val="Normal"/>
    <w:qFormat/>
    <w:rsid w:val="00C2220C"/>
    <w:pPr>
      <w:spacing w:before="120" w:line="360" w:lineRule="auto"/>
      <w:ind w:left="720" w:hanging="720"/>
      <w:contextualSpacing/>
    </w:pPr>
  </w:style>
  <w:style w:type="paragraph" w:customStyle="1" w:styleId="Subjectcodes">
    <w:name w:val="Subject codes"/>
    <w:basedOn w:val="Keywords"/>
    <w:next w:val="Paragraph"/>
    <w:qFormat/>
    <w:rsid w:val="00C2220C"/>
  </w:style>
  <w:style w:type="paragraph" w:customStyle="1" w:styleId="Bulletedlist">
    <w:name w:val="Bulleted list"/>
    <w:basedOn w:val="Paragraph"/>
    <w:next w:val="Paragraph"/>
    <w:qFormat/>
    <w:rsid w:val="00C2220C"/>
    <w:pPr>
      <w:widowControl/>
      <w:numPr>
        <w:numId w:val="14"/>
      </w:numPr>
      <w:spacing w:after="240"/>
      <w:contextualSpacing/>
    </w:pPr>
  </w:style>
  <w:style w:type="paragraph" w:styleId="FootnoteText">
    <w:name w:val="footnote text"/>
    <w:basedOn w:val="Normal"/>
    <w:link w:val="FootnoteTextChar"/>
    <w:autoRedefine/>
    <w:rsid w:val="00C2220C"/>
    <w:pPr>
      <w:ind w:left="284" w:hanging="284"/>
    </w:pPr>
    <w:rPr>
      <w:sz w:val="22"/>
      <w:szCs w:val="20"/>
    </w:rPr>
  </w:style>
  <w:style w:type="character" w:customStyle="1" w:styleId="FootnoteTextChar">
    <w:name w:val="Footnote Text Char"/>
    <w:basedOn w:val="DefaultParagraphFont"/>
    <w:link w:val="FootnoteText"/>
    <w:rsid w:val="00C2220C"/>
    <w:rPr>
      <w:rFonts w:ascii="Times New Roman" w:eastAsia="Times New Roman" w:hAnsi="Times New Roman" w:cs="Times New Roman"/>
      <w:szCs w:val="20"/>
      <w:lang w:val="en-GB" w:eastAsia="en-GB"/>
    </w:rPr>
  </w:style>
  <w:style w:type="character" w:styleId="FootnoteReference">
    <w:name w:val="footnote reference"/>
    <w:basedOn w:val="DefaultParagraphFont"/>
    <w:rsid w:val="00C2220C"/>
    <w:rPr>
      <w:vertAlign w:val="superscript"/>
    </w:rPr>
  </w:style>
  <w:style w:type="paragraph" w:styleId="EndnoteText">
    <w:name w:val="endnote text"/>
    <w:basedOn w:val="Normal"/>
    <w:link w:val="EndnoteTextChar"/>
    <w:autoRedefine/>
    <w:rsid w:val="00C2220C"/>
    <w:pPr>
      <w:ind w:left="284" w:hanging="284"/>
    </w:pPr>
    <w:rPr>
      <w:sz w:val="22"/>
      <w:szCs w:val="20"/>
    </w:rPr>
  </w:style>
  <w:style w:type="character" w:customStyle="1" w:styleId="EndnoteTextChar">
    <w:name w:val="Endnote Text Char"/>
    <w:basedOn w:val="DefaultParagraphFont"/>
    <w:link w:val="EndnoteText"/>
    <w:rsid w:val="00C2220C"/>
    <w:rPr>
      <w:rFonts w:ascii="Times New Roman" w:eastAsia="Times New Roman" w:hAnsi="Times New Roman" w:cs="Times New Roman"/>
      <w:szCs w:val="20"/>
      <w:lang w:val="en-GB" w:eastAsia="en-GB"/>
    </w:rPr>
  </w:style>
  <w:style w:type="character" w:styleId="EndnoteReference">
    <w:name w:val="endnote reference"/>
    <w:basedOn w:val="DefaultParagraphFont"/>
    <w:rsid w:val="00C2220C"/>
    <w:rPr>
      <w:vertAlign w:val="superscript"/>
    </w:rPr>
  </w:style>
  <w:style w:type="paragraph" w:styleId="Header">
    <w:name w:val="header"/>
    <w:basedOn w:val="Normal"/>
    <w:link w:val="HeaderChar"/>
    <w:rsid w:val="00C2220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2220C"/>
    <w:rPr>
      <w:rFonts w:ascii="Times New Roman" w:eastAsia="Times New Roman" w:hAnsi="Times New Roman" w:cs="Times New Roman"/>
      <w:sz w:val="24"/>
      <w:szCs w:val="24"/>
      <w:lang w:val="en-GB" w:eastAsia="en-GB"/>
    </w:rPr>
  </w:style>
  <w:style w:type="paragraph" w:styleId="Footer">
    <w:name w:val="footer"/>
    <w:basedOn w:val="Normal"/>
    <w:link w:val="FooterChar"/>
    <w:rsid w:val="00C2220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2220C"/>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C2220C"/>
    <w:pPr>
      <w:widowControl/>
      <w:spacing w:before="360"/>
    </w:pPr>
  </w:style>
  <w:style w:type="paragraph" w:styleId="BalloonText">
    <w:name w:val="Balloon Text"/>
    <w:basedOn w:val="Normal"/>
    <w:link w:val="BalloonTextChar"/>
    <w:rsid w:val="00C222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20C"/>
    <w:rPr>
      <w:rFonts w:ascii="Tahoma" w:eastAsia="Times New Roman" w:hAnsi="Tahoma" w:cs="Tahoma"/>
      <w:sz w:val="16"/>
      <w:szCs w:val="16"/>
      <w:lang w:val="en-GB" w:eastAsia="en-GB"/>
    </w:rPr>
  </w:style>
  <w:style w:type="character" w:styleId="Hyperlink">
    <w:name w:val="Hyperlink"/>
    <w:basedOn w:val="DefaultParagraphFont"/>
    <w:rsid w:val="00C2220C"/>
    <w:rPr>
      <w:color w:val="0000FF" w:themeColor="hyperlink"/>
      <w:u w:val="single"/>
    </w:rPr>
  </w:style>
  <w:style w:type="paragraph" w:styleId="ListParagraph">
    <w:name w:val="List Paragraph"/>
    <w:basedOn w:val="Normal"/>
    <w:uiPriority w:val="34"/>
    <w:qFormat/>
    <w:rsid w:val="00C2220C"/>
    <w:pPr>
      <w:ind w:left="720"/>
      <w:contextualSpacing/>
    </w:pPr>
  </w:style>
  <w:style w:type="paragraph" w:styleId="PlainText">
    <w:name w:val="Plain Text"/>
    <w:basedOn w:val="Normal"/>
    <w:link w:val="PlainTextChar"/>
    <w:uiPriority w:val="99"/>
    <w:unhideWhenUsed/>
    <w:rsid w:val="00C2220C"/>
    <w:pPr>
      <w:spacing w:line="240" w:lineRule="auto"/>
    </w:pPr>
    <w:rPr>
      <w:rFonts w:ascii="Calibri" w:eastAsia="SimSun" w:hAnsi="Calibri"/>
      <w:sz w:val="22"/>
      <w:szCs w:val="21"/>
      <w:lang w:eastAsia="zh-CN"/>
    </w:rPr>
  </w:style>
  <w:style w:type="character" w:customStyle="1" w:styleId="PlainTextChar">
    <w:name w:val="Plain Text Char"/>
    <w:basedOn w:val="DefaultParagraphFont"/>
    <w:link w:val="PlainText"/>
    <w:uiPriority w:val="99"/>
    <w:rsid w:val="00C2220C"/>
    <w:rPr>
      <w:rFonts w:ascii="Calibri" w:eastAsia="SimSun" w:hAnsi="Calibri" w:cs="Times New Roman"/>
      <w:szCs w:val="21"/>
      <w:lang w:val="en-GB"/>
    </w:rPr>
  </w:style>
  <w:style w:type="character" w:styleId="CommentReference">
    <w:name w:val="annotation reference"/>
    <w:basedOn w:val="DefaultParagraphFont"/>
    <w:rsid w:val="00C2220C"/>
    <w:rPr>
      <w:sz w:val="16"/>
      <w:szCs w:val="16"/>
    </w:rPr>
  </w:style>
  <w:style w:type="paragraph" w:styleId="CommentText">
    <w:name w:val="annotation text"/>
    <w:basedOn w:val="Normal"/>
    <w:link w:val="CommentTextChar"/>
    <w:rsid w:val="00C2220C"/>
    <w:pPr>
      <w:spacing w:line="240" w:lineRule="auto"/>
    </w:pPr>
    <w:rPr>
      <w:sz w:val="20"/>
      <w:szCs w:val="20"/>
    </w:rPr>
  </w:style>
  <w:style w:type="character" w:customStyle="1" w:styleId="CommentTextChar">
    <w:name w:val="Comment Text Char"/>
    <w:basedOn w:val="DefaultParagraphFont"/>
    <w:link w:val="CommentText"/>
    <w:rsid w:val="00C2220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C2220C"/>
    <w:rPr>
      <w:b/>
      <w:bCs/>
    </w:rPr>
  </w:style>
  <w:style w:type="character" w:customStyle="1" w:styleId="CommentSubjectChar">
    <w:name w:val="Comment Subject Char"/>
    <w:basedOn w:val="CommentTextChar"/>
    <w:link w:val="CommentSubject"/>
    <w:rsid w:val="00C2220C"/>
    <w:rPr>
      <w:rFonts w:ascii="Times New Roman" w:eastAsia="Times New Roman" w:hAnsi="Times New Roman" w:cs="Times New Roman"/>
      <w:b/>
      <w:bCs/>
      <w:sz w:val="20"/>
      <w:szCs w:val="20"/>
      <w:lang w:val="en-GB" w:eastAsia="en-GB"/>
    </w:rPr>
  </w:style>
  <w:style w:type="paragraph" w:styleId="Revision">
    <w:name w:val="Revision"/>
    <w:hidden/>
    <w:rsid w:val="00C2220C"/>
    <w:pPr>
      <w:spacing w:after="0"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C2220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0C"/>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C2220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2220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2220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2220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20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C2220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C2220C"/>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C2220C"/>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C2220C"/>
    <w:pPr>
      <w:spacing w:after="120" w:line="360" w:lineRule="auto"/>
    </w:pPr>
    <w:rPr>
      <w:b/>
      <w:sz w:val="28"/>
    </w:rPr>
  </w:style>
  <w:style w:type="paragraph" w:customStyle="1" w:styleId="Authornames">
    <w:name w:val="Author names"/>
    <w:basedOn w:val="Normal"/>
    <w:next w:val="Normal"/>
    <w:qFormat/>
    <w:rsid w:val="00C2220C"/>
    <w:pPr>
      <w:spacing w:before="240" w:line="360" w:lineRule="auto"/>
    </w:pPr>
    <w:rPr>
      <w:sz w:val="28"/>
    </w:rPr>
  </w:style>
  <w:style w:type="paragraph" w:customStyle="1" w:styleId="Affiliation">
    <w:name w:val="Affiliation"/>
    <w:basedOn w:val="Normal"/>
    <w:qFormat/>
    <w:rsid w:val="00C2220C"/>
    <w:pPr>
      <w:spacing w:before="240" w:line="360" w:lineRule="auto"/>
    </w:pPr>
    <w:rPr>
      <w:i/>
    </w:rPr>
  </w:style>
  <w:style w:type="paragraph" w:customStyle="1" w:styleId="Receiveddates">
    <w:name w:val="Received dates"/>
    <w:basedOn w:val="Affiliation"/>
    <w:next w:val="Normal"/>
    <w:qFormat/>
    <w:rsid w:val="00C2220C"/>
  </w:style>
  <w:style w:type="paragraph" w:customStyle="1" w:styleId="Abstract">
    <w:name w:val="Abstract"/>
    <w:basedOn w:val="Normal"/>
    <w:next w:val="Keywords"/>
    <w:qFormat/>
    <w:rsid w:val="00C2220C"/>
    <w:pPr>
      <w:spacing w:before="360" w:after="300" w:line="360" w:lineRule="auto"/>
      <w:ind w:left="720" w:right="567"/>
    </w:pPr>
    <w:rPr>
      <w:sz w:val="22"/>
    </w:rPr>
  </w:style>
  <w:style w:type="paragraph" w:customStyle="1" w:styleId="Keywords">
    <w:name w:val="Keywords"/>
    <w:basedOn w:val="Normal"/>
    <w:next w:val="Paragraph"/>
    <w:qFormat/>
    <w:rsid w:val="00C2220C"/>
    <w:pPr>
      <w:spacing w:before="240" w:after="240" w:line="360" w:lineRule="auto"/>
      <w:ind w:left="720" w:right="567"/>
    </w:pPr>
    <w:rPr>
      <w:sz w:val="22"/>
    </w:rPr>
  </w:style>
  <w:style w:type="paragraph" w:customStyle="1" w:styleId="Correspondencedetails">
    <w:name w:val="Correspondence details"/>
    <w:basedOn w:val="Normal"/>
    <w:qFormat/>
    <w:rsid w:val="00C2220C"/>
    <w:pPr>
      <w:spacing w:before="240" w:line="360" w:lineRule="auto"/>
    </w:pPr>
  </w:style>
  <w:style w:type="paragraph" w:customStyle="1" w:styleId="Displayedquotation">
    <w:name w:val="Displayed quotation"/>
    <w:basedOn w:val="Normal"/>
    <w:qFormat/>
    <w:rsid w:val="00C2220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2220C"/>
    <w:pPr>
      <w:widowControl/>
      <w:numPr>
        <w:numId w:val="13"/>
      </w:numPr>
      <w:spacing w:after="240"/>
      <w:contextualSpacing/>
    </w:pPr>
  </w:style>
  <w:style w:type="paragraph" w:customStyle="1" w:styleId="Displayedequation">
    <w:name w:val="Displayed equation"/>
    <w:basedOn w:val="Normal"/>
    <w:next w:val="Paragraph"/>
    <w:qFormat/>
    <w:rsid w:val="00C2220C"/>
    <w:pPr>
      <w:tabs>
        <w:tab w:val="center" w:pos="4253"/>
        <w:tab w:val="right" w:pos="8222"/>
      </w:tabs>
      <w:spacing w:before="240" w:after="240"/>
      <w:jc w:val="center"/>
    </w:pPr>
  </w:style>
  <w:style w:type="paragraph" w:customStyle="1" w:styleId="Acknowledgements">
    <w:name w:val="Acknowledgements"/>
    <w:basedOn w:val="Normal"/>
    <w:next w:val="Normal"/>
    <w:qFormat/>
    <w:rsid w:val="00C2220C"/>
    <w:pPr>
      <w:spacing w:before="120" w:line="360" w:lineRule="auto"/>
    </w:pPr>
    <w:rPr>
      <w:sz w:val="22"/>
    </w:rPr>
  </w:style>
  <w:style w:type="paragraph" w:customStyle="1" w:styleId="Tabletitle">
    <w:name w:val="Table title"/>
    <w:basedOn w:val="Normal"/>
    <w:next w:val="Normal"/>
    <w:qFormat/>
    <w:rsid w:val="00C2220C"/>
    <w:pPr>
      <w:spacing w:before="240" w:line="360" w:lineRule="auto"/>
    </w:pPr>
  </w:style>
  <w:style w:type="paragraph" w:customStyle="1" w:styleId="Figurecaption">
    <w:name w:val="Figure caption"/>
    <w:basedOn w:val="Normal"/>
    <w:next w:val="Normal"/>
    <w:qFormat/>
    <w:rsid w:val="00C2220C"/>
    <w:pPr>
      <w:spacing w:before="240" w:line="360" w:lineRule="auto"/>
    </w:pPr>
  </w:style>
  <w:style w:type="paragraph" w:customStyle="1" w:styleId="Footnotes">
    <w:name w:val="Footnotes"/>
    <w:basedOn w:val="Normal"/>
    <w:qFormat/>
    <w:rsid w:val="00C2220C"/>
    <w:pPr>
      <w:spacing w:before="120" w:line="360" w:lineRule="auto"/>
      <w:ind w:left="482" w:hanging="482"/>
      <w:contextualSpacing/>
    </w:pPr>
    <w:rPr>
      <w:sz w:val="22"/>
    </w:rPr>
  </w:style>
  <w:style w:type="paragraph" w:customStyle="1" w:styleId="Notesoncontributors">
    <w:name w:val="Notes on contributors"/>
    <w:basedOn w:val="Normal"/>
    <w:qFormat/>
    <w:rsid w:val="00C2220C"/>
    <w:pPr>
      <w:spacing w:before="240" w:line="360" w:lineRule="auto"/>
    </w:pPr>
    <w:rPr>
      <w:sz w:val="22"/>
    </w:rPr>
  </w:style>
  <w:style w:type="paragraph" w:customStyle="1" w:styleId="Normalparagraphstyle">
    <w:name w:val="Normal paragraph style"/>
    <w:basedOn w:val="Normal"/>
    <w:next w:val="Normal"/>
    <w:rsid w:val="00C2220C"/>
  </w:style>
  <w:style w:type="paragraph" w:customStyle="1" w:styleId="Paragraph">
    <w:name w:val="Paragraph"/>
    <w:basedOn w:val="Normal"/>
    <w:next w:val="Newparagraph"/>
    <w:qFormat/>
    <w:rsid w:val="00C2220C"/>
    <w:pPr>
      <w:widowControl w:val="0"/>
      <w:spacing w:before="240"/>
    </w:pPr>
  </w:style>
  <w:style w:type="paragraph" w:customStyle="1" w:styleId="Newparagraph">
    <w:name w:val="New paragraph"/>
    <w:basedOn w:val="Normal"/>
    <w:qFormat/>
    <w:rsid w:val="00C2220C"/>
    <w:pPr>
      <w:ind w:firstLine="720"/>
    </w:pPr>
  </w:style>
  <w:style w:type="paragraph" w:styleId="NormalIndent">
    <w:name w:val="Normal Indent"/>
    <w:basedOn w:val="Normal"/>
    <w:rsid w:val="00C2220C"/>
    <w:pPr>
      <w:ind w:left="720"/>
    </w:pPr>
  </w:style>
  <w:style w:type="paragraph" w:customStyle="1" w:styleId="References">
    <w:name w:val="References"/>
    <w:basedOn w:val="Normal"/>
    <w:qFormat/>
    <w:rsid w:val="00C2220C"/>
    <w:pPr>
      <w:spacing w:before="120" w:line="360" w:lineRule="auto"/>
      <w:ind w:left="720" w:hanging="720"/>
      <w:contextualSpacing/>
    </w:pPr>
  </w:style>
  <w:style w:type="paragraph" w:customStyle="1" w:styleId="Subjectcodes">
    <w:name w:val="Subject codes"/>
    <w:basedOn w:val="Keywords"/>
    <w:next w:val="Paragraph"/>
    <w:qFormat/>
    <w:rsid w:val="00C2220C"/>
  </w:style>
  <w:style w:type="paragraph" w:customStyle="1" w:styleId="Bulletedlist">
    <w:name w:val="Bulleted list"/>
    <w:basedOn w:val="Paragraph"/>
    <w:next w:val="Paragraph"/>
    <w:qFormat/>
    <w:rsid w:val="00C2220C"/>
    <w:pPr>
      <w:widowControl/>
      <w:numPr>
        <w:numId w:val="14"/>
      </w:numPr>
      <w:spacing w:after="240"/>
      <w:contextualSpacing/>
    </w:pPr>
  </w:style>
  <w:style w:type="paragraph" w:styleId="FootnoteText">
    <w:name w:val="footnote text"/>
    <w:basedOn w:val="Normal"/>
    <w:link w:val="FootnoteTextChar"/>
    <w:autoRedefine/>
    <w:rsid w:val="00C2220C"/>
    <w:pPr>
      <w:ind w:left="284" w:hanging="284"/>
    </w:pPr>
    <w:rPr>
      <w:sz w:val="22"/>
      <w:szCs w:val="20"/>
    </w:rPr>
  </w:style>
  <w:style w:type="character" w:customStyle="1" w:styleId="FootnoteTextChar">
    <w:name w:val="Footnote Text Char"/>
    <w:basedOn w:val="DefaultParagraphFont"/>
    <w:link w:val="FootnoteText"/>
    <w:rsid w:val="00C2220C"/>
    <w:rPr>
      <w:rFonts w:ascii="Times New Roman" w:eastAsia="Times New Roman" w:hAnsi="Times New Roman" w:cs="Times New Roman"/>
      <w:szCs w:val="20"/>
      <w:lang w:val="en-GB" w:eastAsia="en-GB"/>
    </w:rPr>
  </w:style>
  <w:style w:type="character" w:styleId="FootnoteReference">
    <w:name w:val="footnote reference"/>
    <w:basedOn w:val="DefaultParagraphFont"/>
    <w:rsid w:val="00C2220C"/>
    <w:rPr>
      <w:vertAlign w:val="superscript"/>
    </w:rPr>
  </w:style>
  <w:style w:type="paragraph" w:styleId="EndnoteText">
    <w:name w:val="endnote text"/>
    <w:basedOn w:val="Normal"/>
    <w:link w:val="EndnoteTextChar"/>
    <w:autoRedefine/>
    <w:rsid w:val="00C2220C"/>
    <w:pPr>
      <w:ind w:left="284" w:hanging="284"/>
    </w:pPr>
    <w:rPr>
      <w:sz w:val="22"/>
      <w:szCs w:val="20"/>
    </w:rPr>
  </w:style>
  <w:style w:type="character" w:customStyle="1" w:styleId="EndnoteTextChar">
    <w:name w:val="Endnote Text Char"/>
    <w:basedOn w:val="DefaultParagraphFont"/>
    <w:link w:val="EndnoteText"/>
    <w:rsid w:val="00C2220C"/>
    <w:rPr>
      <w:rFonts w:ascii="Times New Roman" w:eastAsia="Times New Roman" w:hAnsi="Times New Roman" w:cs="Times New Roman"/>
      <w:szCs w:val="20"/>
      <w:lang w:val="en-GB" w:eastAsia="en-GB"/>
    </w:rPr>
  </w:style>
  <w:style w:type="character" w:styleId="EndnoteReference">
    <w:name w:val="endnote reference"/>
    <w:basedOn w:val="DefaultParagraphFont"/>
    <w:rsid w:val="00C2220C"/>
    <w:rPr>
      <w:vertAlign w:val="superscript"/>
    </w:rPr>
  </w:style>
  <w:style w:type="paragraph" w:styleId="Header">
    <w:name w:val="header"/>
    <w:basedOn w:val="Normal"/>
    <w:link w:val="HeaderChar"/>
    <w:rsid w:val="00C2220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2220C"/>
    <w:rPr>
      <w:rFonts w:ascii="Times New Roman" w:eastAsia="Times New Roman" w:hAnsi="Times New Roman" w:cs="Times New Roman"/>
      <w:sz w:val="24"/>
      <w:szCs w:val="24"/>
      <w:lang w:val="en-GB" w:eastAsia="en-GB"/>
    </w:rPr>
  </w:style>
  <w:style w:type="paragraph" w:styleId="Footer">
    <w:name w:val="footer"/>
    <w:basedOn w:val="Normal"/>
    <w:link w:val="FooterChar"/>
    <w:rsid w:val="00C2220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2220C"/>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C2220C"/>
    <w:pPr>
      <w:widowControl/>
      <w:spacing w:before="360"/>
    </w:pPr>
  </w:style>
  <w:style w:type="paragraph" w:styleId="BalloonText">
    <w:name w:val="Balloon Text"/>
    <w:basedOn w:val="Normal"/>
    <w:link w:val="BalloonTextChar"/>
    <w:rsid w:val="00C222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20C"/>
    <w:rPr>
      <w:rFonts w:ascii="Tahoma" w:eastAsia="Times New Roman" w:hAnsi="Tahoma" w:cs="Tahoma"/>
      <w:sz w:val="16"/>
      <w:szCs w:val="16"/>
      <w:lang w:val="en-GB" w:eastAsia="en-GB"/>
    </w:rPr>
  </w:style>
  <w:style w:type="character" w:styleId="Hyperlink">
    <w:name w:val="Hyperlink"/>
    <w:basedOn w:val="DefaultParagraphFont"/>
    <w:rsid w:val="00C2220C"/>
    <w:rPr>
      <w:color w:val="0000FF" w:themeColor="hyperlink"/>
      <w:u w:val="single"/>
    </w:rPr>
  </w:style>
  <w:style w:type="paragraph" w:styleId="ListParagraph">
    <w:name w:val="List Paragraph"/>
    <w:basedOn w:val="Normal"/>
    <w:uiPriority w:val="34"/>
    <w:qFormat/>
    <w:rsid w:val="00C2220C"/>
    <w:pPr>
      <w:ind w:left="720"/>
      <w:contextualSpacing/>
    </w:pPr>
  </w:style>
  <w:style w:type="paragraph" w:styleId="PlainText">
    <w:name w:val="Plain Text"/>
    <w:basedOn w:val="Normal"/>
    <w:link w:val="PlainTextChar"/>
    <w:uiPriority w:val="99"/>
    <w:unhideWhenUsed/>
    <w:rsid w:val="00C2220C"/>
    <w:pPr>
      <w:spacing w:line="240" w:lineRule="auto"/>
    </w:pPr>
    <w:rPr>
      <w:rFonts w:ascii="Calibri" w:eastAsia="SimSun" w:hAnsi="Calibri"/>
      <w:sz w:val="22"/>
      <w:szCs w:val="21"/>
      <w:lang w:eastAsia="zh-CN"/>
    </w:rPr>
  </w:style>
  <w:style w:type="character" w:customStyle="1" w:styleId="PlainTextChar">
    <w:name w:val="Plain Text Char"/>
    <w:basedOn w:val="DefaultParagraphFont"/>
    <w:link w:val="PlainText"/>
    <w:uiPriority w:val="99"/>
    <w:rsid w:val="00C2220C"/>
    <w:rPr>
      <w:rFonts w:ascii="Calibri" w:eastAsia="SimSun" w:hAnsi="Calibri" w:cs="Times New Roman"/>
      <w:szCs w:val="21"/>
      <w:lang w:val="en-GB"/>
    </w:rPr>
  </w:style>
  <w:style w:type="character" w:styleId="CommentReference">
    <w:name w:val="annotation reference"/>
    <w:basedOn w:val="DefaultParagraphFont"/>
    <w:rsid w:val="00C2220C"/>
    <w:rPr>
      <w:sz w:val="16"/>
      <w:szCs w:val="16"/>
    </w:rPr>
  </w:style>
  <w:style w:type="paragraph" w:styleId="CommentText">
    <w:name w:val="annotation text"/>
    <w:basedOn w:val="Normal"/>
    <w:link w:val="CommentTextChar"/>
    <w:rsid w:val="00C2220C"/>
    <w:pPr>
      <w:spacing w:line="240" w:lineRule="auto"/>
    </w:pPr>
    <w:rPr>
      <w:sz w:val="20"/>
      <w:szCs w:val="20"/>
    </w:rPr>
  </w:style>
  <w:style w:type="character" w:customStyle="1" w:styleId="CommentTextChar">
    <w:name w:val="Comment Text Char"/>
    <w:basedOn w:val="DefaultParagraphFont"/>
    <w:link w:val="CommentText"/>
    <w:rsid w:val="00C2220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C2220C"/>
    <w:rPr>
      <w:b/>
      <w:bCs/>
    </w:rPr>
  </w:style>
  <w:style w:type="character" w:customStyle="1" w:styleId="CommentSubjectChar">
    <w:name w:val="Comment Subject Char"/>
    <w:basedOn w:val="CommentTextChar"/>
    <w:link w:val="CommentSubject"/>
    <w:rsid w:val="00C2220C"/>
    <w:rPr>
      <w:rFonts w:ascii="Times New Roman" w:eastAsia="Times New Roman" w:hAnsi="Times New Roman" w:cs="Times New Roman"/>
      <w:b/>
      <w:bCs/>
      <w:sz w:val="20"/>
      <w:szCs w:val="20"/>
      <w:lang w:val="en-GB" w:eastAsia="en-GB"/>
    </w:rPr>
  </w:style>
  <w:style w:type="paragraph" w:styleId="Revision">
    <w:name w:val="Revision"/>
    <w:hidden/>
    <w:rsid w:val="00C2220C"/>
    <w:pPr>
      <w:spacing w:after="0"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C22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05">
      <w:bodyDiv w:val="1"/>
      <w:marLeft w:val="0"/>
      <w:marRight w:val="0"/>
      <w:marTop w:val="0"/>
      <w:marBottom w:val="0"/>
      <w:divBdr>
        <w:top w:val="none" w:sz="0" w:space="0" w:color="auto"/>
        <w:left w:val="none" w:sz="0" w:space="0" w:color="auto"/>
        <w:bottom w:val="none" w:sz="0" w:space="0" w:color="auto"/>
        <w:right w:val="none" w:sz="0" w:space="0" w:color="auto"/>
      </w:divBdr>
    </w:div>
    <w:div w:id="207959504">
      <w:bodyDiv w:val="1"/>
      <w:marLeft w:val="0"/>
      <w:marRight w:val="0"/>
      <w:marTop w:val="0"/>
      <w:marBottom w:val="0"/>
      <w:divBdr>
        <w:top w:val="none" w:sz="0" w:space="0" w:color="auto"/>
        <w:left w:val="none" w:sz="0" w:space="0" w:color="auto"/>
        <w:bottom w:val="none" w:sz="0" w:space="0" w:color="auto"/>
        <w:right w:val="none" w:sz="0" w:space="0" w:color="auto"/>
      </w:divBdr>
    </w:div>
    <w:div w:id="648247961">
      <w:bodyDiv w:val="1"/>
      <w:marLeft w:val="0"/>
      <w:marRight w:val="0"/>
      <w:marTop w:val="0"/>
      <w:marBottom w:val="0"/>
      <w:divBdr>
        <w:top w:val="none" w:sz="0" w:space="0" w:color="auto"/>
        <w:left w:val="none" w:sz="0" w:space="0" w:color="auto"/>
        <w:bottom w:val="none" w:sz="0" w:space="0" w:color="auto"/>
        <w:right w:val="none" w:sz="0" w:space="0" w:color="auto"/>
      </w:divBdr>
    </w:div>
    <w:div w:id="672876411">
      <w:bodyDiv w:val="1"/>
      <w:marLeft w:val="0"/>
      <w:marRight w:val="0"/>
      <w:marTop w:val="0"/>
      <w:marBottom w:val="0"/>
      <w:divBdr>
        <w:top w:val="none" w:sz="0" w:space="0" w:color="auto"/>
        <w:left w:val="none" w:sz="0" w:space="0" w:color="auto"/>
        <w:bottom w:val="none" w:sz="0" w:space="0" w:color="auto"/>
        <w:right w:val="none" w:sz="0" w:space="0" w:color="auto"/>
      </w:divBdr>
    </w:div>
    <w:div w:id="747118791">
      <w:bodyDiv w:val="1"/>
      <w:marLeft w:val="0"/>
      <w:marRight w:val="0"/>
      <w:marTop w:val="0"/>
      <w:marBottom w:val="0"/>
      <w:divBdr>
        <w:top w:val="none" w:sz="0" w:space="0" w:color="auto"/>
        <w:left w:val="none" w:sz="0" w:space="0" w:color="auto"/>
        <w:bottom w:val="none" w:sz="0" w:space="0" w:color="auto"/>
        <w:right w:val="none" w:sz="0" w:space="0" w:color="auto"/>
      </w:divBdr>
    </w:div>
    <w:div w:id="856506494">
      <w:bodyDiv w:val="1"/>
      <w:marLeft w:val="0"/>
      <w:marRight w:val="0"/>
      <w:marTop w:val="0"/>
      <w:marBottom w:val="0"/>
      <w:divBdr>
        <w:top w:val="none" w:sz="0" w:space="0" w:color="auto"/>
        <w:left w:val="none" w:sz="0" w:space="0" w:color="auto"/>
        <w:bottom w:val="none" w:sz="0" w:space="0" w:color="auto"/>
        <w:right w:val="none" w:sz="0" w:space="0" w:color="auto"/>
      </w:divBdr>
    </w:div>
    <w:div w:id="1029453453">
      <w:bodyDiv w:val="1"/>
      <w:marLeft w:val="0"/>
      <w:marRight w:val="0"/>
      <w:marTop w:val="0"/>
      <w:marBottom w:val="0"/>
      <w:divBdr>
        <w:top w:val="none" w:sz="0" w:space="0" w:color="auto"/>
        <w:left w:val="none" w:sz="0" w:space="0" w:color="auto"/>
        <w:bottom w:val="none" w:sz="0" w:space="0" w:color="auto"/>
        <w:right w:val="none" w:sz="0" w:space="0" w:color="auto"/>
      </w:divBdr>
    </w:div>
    <w:div w:id="1332098796">
      <w:bodyDiv w:val="1"/>
      <w:marLeft w:val="0"/>
      <w:marRight w:val="0"/>
      <w:marTop w:val="0"/>
      <w:marBottom w:val="0"/>
      <w:divBdr>
        <w:top w:val="none" w:sz="0" w:space="0" w:color="auto"/>
        <w:left w:val="none" w:sz="0" w:space="0" w:color="auto"/>
        <w:bottom w:val="none" w:sz="0" w:space="0" w:color="auto"/>
        <w:right w:val="none" w:sz="0" w:space="0" w:color="auto"/>
      </w:divBdr>
    </w:div>
    <w:div w:id="1544056682">
      <w:bodyDiv w:val="1"/>
      <w:marLeft w:val="0"/>
      <w:marRight w:val="0"/>
      <w:marTop w:val="0"/>
      <w:marBottom w:val="0"/>
      <w:divBdr>
        <w:top w:val="none" w:sz="0" w:space="0" w:color="auto"/>
        <w:left w:val="none" w:sz="0" w:space="0" w:color="auto"/>
        <w:bottom w:val="none" w:sz="0" w:space="0" w:color="auto"/>
        <w:right w:val="none" w:sz="0" w:space="0" w:color="auto"/>
      </w:divBdr>
    </w:div>
    <w:div w:id="187341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lmer.fjellvag@kjemi.uio.no"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B7EFDAFA.dotm</Template>
  <TotalTime>21</TotalTime>
  <Pages>21</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Susmit Kumar</dc:creator>
  <cp:lastModifiedBy>Marius Uv Nagell</cp:lastModifiedBy>
  <cp:revision>10</cp:revision>
  <cp:lastPrinted>2014-12-18T12:39:00Z</cp:lastPrinted>
  <dcterms:created xsi:type="dcterms:W3CDTF">2015-02-05T15:47:00Z</dcterms:created>
  <dcterms:modified xsi:type="dcterms:W3CDTF">2015-02-08T12:11:00Z</dcterms:modified>
</cp:coreProperties>
</file>